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E5D6" w14:textId="77777777" w:rsidR="00AC549D" w:rsidRPr="00E668A7" w:rsidRDefault="00AC549D" w:rsidP="51EC1EE2">
      <w:pPr>
        <w:jc w:val="center"/>
        <w:rPr>
          <w:rFonts w:ascii="HelveticaNeueLT Std" w:eastAsia="HelveticaNeueLt Thin" w:hAnsi="HelveticaNeueLT Std" w:cs="HelveticaNeueLt Thin"/>
        </w:rPr>
      </w:pPr>
    </w:p>
    <w:p w14:paraId="6A962112" w14:textId="2895E948" w:rsidR="000E3074" w:rsidRPr="00E668A7" w:rsidRDefault="51EC1EE2" w:rsidP="51EC1EE2">
      <w:pPr>
        <w:spacing w:line="276" w:lineRule="auto"/>
        <w:jc w:val="center"/>
        <w:rPr>
          <w:rFonts w:ascii="HelveticaNeueLT Std" w:eastAsia="Helvetica Neue Thin" w:hAnsi="HelveticaNeueLT Std" w:cs="Helvetica Neue Thin"/>
          <w:b/>
          <w:bCs/>
        </w:rPr>
      </w:pPr>
      <w:r w:rsidRPr="00E668A7">
        <w:rPr>
          <w:rFonts w:ascii="HelveticaNeueLT Std" w:eastAsia="Arial" w:hAnsi="HelveticaNeueLT Std" w:cs="Arial"/>
          <w:b/>
          <w:bCs/>
          <w:color w:val="551F75"/>
          <w:sz w:val="31"/>
          <w:szCs w:val="31"/>
        </w:rPr>
        <w:t xml:space="preserve">Multiple Long-Term Conditions </w:t>
      </w:r>
      <w:r w:rsidRPr="00E668A7">
        <w:rPr>
          <w:rFonts w:ascii="HelveticaNeueLT Std" w:eastAsia="HelveticaNeueLt Thin" w:hAnsi="HelveticaNeueLT Std" w:cs="HelveticaNeueLt Thin"/>
          <w:b/>
          <w:bCs/>
          <w:color w:val="551F75"/>
          <w:sz w:val="31"/>
          <w:szCs w:val="31"/>
        </w:rPr>
        <w:t>Challenge</w:t>
      </w:r>
      <w:r w:rsidRPr="00E668A7">
        <w:rPr>
          <w:rFonts w:ascii="HelveticaNeueLT Std" w:eastAsia="Arial" w:hAnsi="HelveticaNeueLT Std" w:cs="Arial"/>
          <w:b/>
          <w:bCs/>
          <w:color w:val="551F75"/>
          <w:sz w:val="31"/>
          <w:szCs w:val="31"/>
        </w:rPr>
        <w:t xml:space="preserve"> Fund</w:t>
      </w:r>
    </w:p>
    <w:p w14:paraId="5A093D10" w14:textId="77777777" w:rsidR="00BE1D53" w:rsidRDefault="00BE1D53" w:rsidP="7692893D">
      <w:pPr>
        <w:spacing w:line="276" w:lineRule="auto"/>
        <w:rPr>
          <w:rFonts w:ascii="HelveticaNeueLT Std" w:eastAsia="Helvetica Neue Thin" w:hAnsi="HelveticaNeueLT Std" w:cs="Helvetica Neue Thin"/>
        </w:rPr>
      </w:pPr>
    </w:p>
    <w:p w14:paraId="6AB700C6" w14:textId="484D56D6" w:rsidR="00BE1D53" w:rsidRPr="00332E63" w:rsidRDefault="00BE1D53" w:rsidP="7692893D">
      <w:pPr>
        <w:spacing w:line="276" w:lineRule="auto"/>
        <w:rPr>
          <w:rFonts w:ascii="HelveticaNeueLT Std" w:eastAsia="Helvetica Neue Thin" w:hAnsi="HelveticaNeueLT Std" w:cs="Helvetica Neue Thin"/>
          <w:b/>
          <w:bCs/>
        </w:rPr>
      </w:pPr>
      <w:r w:rsidRPr="00332E63">
        <w:rPr>
          <w:rFonts w:ascii="HelveticaNeueLT Std" w:eastAsia="Helvetica Neue Thin" w:hAnsi="HelveticaNeueLT Std" w:cs="Helvetica Neue Thin"/>
          <w:b/>
          <w:bCs/>
        </w:rPr>
        <w:t>Introduction</w:t>
      </w:r>
    </w:p>
    <w:p w14:paraId="6BCBFADA" w14:textId="52116E9D" w:rsidR="00030A21" w:rsidRDefault="7692893D" w:rsidP="00030A21">
      <w:pPr>
        <w:spacing w:line="276" w:lineRule="auto"/>
        <w:rPr>
          <w:rFonts w:ascii="HelveticaNeueLT Std" w:eastAsia="Helvetica Neue Thin" w:hAnsi="HelveticaNeueLT Std" w:cs="Helvetica Neue Thin"/>
        </w:rPr>
      </w:pPr>
      <w:r w:rsidRPr="00E668A7">
        <w:rPr>
          <w:rFonts w:ascii="HelveticaNeueLT Std" w:eastAsia="Helvetica Neue Thin" w:hAnsi="HelveticaNeueLT Std" w:cs="Helvetica Neue Thin"/>
        </w:rPr>
        <w:t xml:space="preserve">Guy’s </w:t>
      </w:r>
      <w:r w:rsidR="00030A21">
        <w:rPr>
          <w:rFonts w:ascii="HelveticaNeueLT Std" w:eastAsia="Helvetica Neue Thin" w:hAnsi="HelveticaNeueLT Std" w:cs="Helvetica Neue Thin"/>
        </w:rPr>
        <w:t>and</w:t>
      </w:r>
      <w:r w:rsidRPr="00E668A7">
        <w:rPr>
          <w:rFonts w:ascii="HelveticaNeueLT Std" w:eastAsia="Helvetica Neue Thin" w:hAnsi="HelveticaNeueLT Std" w:cs="Helvetica Neue Thin"/>
        </w:rPr>
        <w:t xml:space="preserve"> St </w:t>
      </w:r>
      <w:proofErr w:type="spellStart"/>
      <w:r w:rsidRPr="00E668A7">
        <w:rPr>
          <w:rFonts w:ascii="HelveticaNeueLT Std" w:eastAsia="Helvetica Neue Thin" w:hAnsi="HelveticaNeueLT Std" w:cs="Helvetica Neue Thin"/>
        </w:rPr>
        <w:t>Thomas’</w:t>
      </w:r>
      <w:proofErr w:type="spellEnd"/>
      <w:r w:rsidRPr="00E668A7">
        <w:rPr>
          <w:rFonts w:ascii="HelveticaNeueLT Std" w:eastAsia="Helvetica Neue Thin" w:hAnsi="HelveticaNeueLT Std" w:cs="Helvetica Neue Thin"/>
        </w:rPr>
        <w:t xml:space="preserve"> Charity is an independent, place-based foundation</w:t>
      </w:r>
      <w:r w:rsidR="00030A21" w:rsidRPr="00030A21">
        <w:rPr>
          <w:rFonts w:ascii="HelveticaNeueLT Std" w:eastAsia="Helvetica Neue Thin" w:hAnsi="HelveticaNeueLT Std" w:cs="Helvetica Neue Thin"/>
        </w:rPr>
        <w:t xml:space="preserve"> focus</w:t>
      </w:r>
      <w:r w:rsidR="00030A21">
        <w:rPr>
          <w:rFonts w:ascii="HelveticaNeueLT Std" w:eastAsia="Helvetica Neue Thin" w:hAnsi="HelveticaNeueLT Std" w:cs="Helvetica Neue Thin"/>
        </w:rPr>
        <w:t>sed</w:t>
      </w:r>
      <w:r w:rsidR="00030A21" w:rsidRPr="00030A21">
        <w:rPr>
          <w:rFonts w:ascii="HelveticaNeueLT Std" w:eastAsia="Helvetica Neue Thin" w:hAnsi="HelveticaNeueLT Std" w:cs="Helvetica Neue Thin"/>
        </w:rPr>
        <w:t xml:space="preserve"> on the ways in which cities shape our health. </w:t>
      </w:r>
    </w:p>
    <w:p w14:paraId="098DC903" w14:textId="0E1AC44A" w:rsidR="00AF3AF6" w:rsidRPr="00E668A7" w:rsidRDefault="00030A21" w:rsidP="7692893D">
      <w:pPr>
        <w:spacing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t xml:space="preserve">The Charity takes </w:t>
      </w:r>
      <w:r w:rsidRPr="00030A21">
        <w:rPr>
          <w:rFonts w:ascii="HelveticaNeueLT Std" w:eastAsia="Helvetica Neue Thin" w:hAnsi="HelveticaNeueLT Std" w:cs="Helvetica Neue Thin"/>
        </w:rPr>
        <w:t xml:space="preserve">a very applied approach to tackling health inequalities and address complex </w:t>
      </w:r>
      <w:r>
        <w:rPr>
          <w:rFonts w:ascii="HelveticaNeueLT Std" w:eastAsia="Helvetica Neue Thin" w:hAnsi="HelveticaNeueLT Std" w:cs="Helvetica Neue Thin"/>
        </w:rPr>
        <w:t xml:space="preserve">urban health </w:t>
      </w:r>
      <w:r w:rsidRPr="00030A21">
        <w:rPr>
          <w:rFonts w:ascii="HelveticaNeueLT Std" w:eastAsia="Helvetica Neue Thin" w:hAnsi="HelveticaNeueLT Std" w:cs="Helvetica Neue Thin"/>
        </w:rPr>
        <w:t>issues like childhood obesity, long term conditions, air pollution and adolescent mental health.</w:t>
      </w:r>
      <w:r>
        <w:rPr>
          <w:rFonts w:ascii="HelveticaNeueLT Std" w:eastAsia="Helvetica Neue Thin" w:hAnsi="HelveticaNeueLT Std" w:cs="Helvetica Neue Thin"/>
        </w:rPr>
        <w:t xml:space="preserve"> To do this, it works with a multitude of partners, including </w:t>
      </w:r>
      <w:r w:rsidR="7692893D" w:rsidRPr="00E668A7">
        <w:rPr>
          <w:rFonts w:ascii="HelveticaNeueLT Std" w:eastAsia="Helvetica Neue Thin" w:hAnsi="HelveticaNeueLT Std" w:cs="Helvetica Neue Thin"/>
        </w:rPr>
        <w:t xml:space="preserve">Guy’s and St </w:t>
      </w:r>
      <w:proofErr w:type="spellStart"/>
      <w:r w:rsidR="7692893D" w:rsidRPr="00E668A7">
        <w:rPr>
          <w:rFonts w:ascii="HelveticaNeueLT Std" w:eastAsia="Helvetica Neue Thin" w:hAnsi="HelveticaNeueLT Std" w:cs="Helvetica Neue Thin"/>
        </w:rPr>
        <w:t>Thomas’</w:t>
      </w:r>
      <w:proofErr w:type="spellEnd"/>
      <w:r w:rsidR="7692893D" w:rsidRPr="00E668A7">
        <w:rPr>
          <w:rFonts w:ascii="HelveticaNeueLT Std" w:eastAsia="Helvetica Neue Thin" w:hAnsi="HelveticaNeueLT Std" w:cs="Helvetica Neue Thin"/>
        </w:rPr>
        <w:t xml:space="preserve"> NHS Foundation Trust and others to improve the health of people living in the London boroughs of Lambeth and Southwark.</w:t>
      </w:r>
      <w:r>
        <w:rPr>
          <w:rFonts w:ascii="HelveticaNeueLT Std" w:eastAsia="Helvetica Neue Thin" w:hAnsi="HelveticaNeueLT Std" w:cs="Helvetica Neue Thin"/>
        </w:rPr>
        <w:t xml:space="preserve"> </w:t>
      </w:r>
      <w:r w:rsidR="7692893D" w:rsidRPr="00E668A7">
        <w:rPr>
          <w:rFonts w:ascii="HelveticaNeueLT Std" w:eastAsia="Helvetica Neue Thin" w:hAnsi="HelveticaNeueLT Std" w:cs="Helvetica Neue Thin"/>
        </w:rPr>
        <w:t xml:space="preserve">It aims to share insights with others tackling similar issues in urban areas.   </w:t>
      </w:r>
    </w:p>
    <w:p w14:paraId="4B903636" w14:textId="551DB16E" w:rsidR="00E663D0" w:rsidRDefault="7692893D" w:rsidP="7692893D">
      <w:pPr>
        <w:spacing w:after="0" w:line="276" w:lineRule="auto"/>
        <w:rPr>
          <w:rFonts w:ascii="HelveticaNeueLT Std" w:eastAsia="Helvetica Neue Thin" w:hAnsi="HelveticaNeueLT Std" w:cs="Helvetica Neue Thin"/>
        </w:rPr>
      </w:pPr>
      <w:r w:rsidRPr="00E668A7">
        <w:rPr>
          <w:rFonts w:ascii="HelveticaNeueLT Std" w:eastAsia="Helvetica Neue Thin" w:hAnsi="HelveticaNeueLT Std" w:cs="Helvetica Neue Thin"/>
        </w:rPr>
        <w:t>The charity support</w:t>
      </w:r>
      <w:r w:rsidR="00635868">
        <w:rPr>
          <w:rFonts w:ascii="HelveticaNeueLT Std" w:eastAsia="Helvetica Neue Thin" w:hAnsi="HelveticaNeueLT Std" w:cs="Helvetica Neue Thin"/>
        </w:rPr>
        <w:t>s</w:t>
      </w:r>
      <w:r w:rsidRPr="00E668A7">
        <w:rPr>
          <w:rFonts w:ascii="HelveticaNeueLT Std" w:eastAsia="Helvetica Neue Thin" w:hAnsi="HelveticaNeueLT Std" w:cs="Helvetica Neue Thin"/>
        </w:rPr>
        <w:t xml:space="preserve"> research from across its partner network to examine and develop innovations, or explore new initiatives, which may help to better understand some of the complex challenges facing local communities. </w:t>
      </w:r>
      <w:r w:rsidR="00030A21">
        <w:rPr>
          <w:rFonts w:ascii="HelveticaNeueLT Std" w:eastAsia="Helvetica Neue Thin" w:hAnsi="HelveticaNeueLT Std" w:cs="Helvetica Neue Thin"/>
        </w:rPr>
        <w:t>The interventions tend to target change at a systems level, changing the urban environments in which people experience health. The wider determinants of health are central to this strategy.</w:t>
      </w:r>
    </w:p>
    <w:p w14:paraId="229B588F" w14:textId="77777777" w:rsidR="00E663D0" w:rsidRDefault="00E663D0" w:rsidP="7692893D">
      <w:pPr>
        <w:spacing w:after="0" w:line="276" w:lineRule="auto"/>
        <w:rPr>
          <w:rFonts w:ascii="HelveticaNeueLT Std" w:eastAsia="Helvetica Neue Thin" w:hAnsi="HelveticaNeueLT Std" w:cs="Helvetica Neue Thin"/>
        </w:rPr>
      </w:pPr>
    </w:p>
    <w:p w14:paraId="6EC162AC" w14:textId="00223208" w:rsidR="00030A21" w:rsidRDefault="00E663D0" w:rsidP="00030A21">
      <w:pPr>
        <w:spacing w:after="0"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t xml:space="preserve">The Charity has a large programme focused on </w:t>
      </w:r>
      <w:r w:rsidR="7692893D" w:rsidRPr="00E668A7">
        <w:rPr>
          <w:rFonts w:ascii="HelveticaNeueLT Std" w:eastAsia="Helvetica Neue Thin" w:hAnsi="HelveticaNeueLT Std" w:cs="Helvetica Neue Thin"/>
        </w:rPr>
        <w:t>multiple long-term conditions –</w:t>
      </w:r>
      <w:r w:rsidR="006C2885">
        <w:rPr>
          <w:rFonts w:ascii="HelveticaNeueLT Std" w:eastAsia="Helvetica Neue Thin" w:hAnsi="HelveticaNeueLT Std" w:cs="Helvetica Neue Thin"/>
        </w:rPr>
        <w:t xml:space="preserve"> </w:t>
      </w:r>
      <w:r w:rsidR="00B55388">
        <w:rPr>
          <w:rFonts w:ascii="HelveticaNeueLT Std" w:eastAsia="Helvetica Neue Thin" w:hAnsi="HelveticaNeueLT Std" w:cs="Helvetica Neue Thin"/>
        </w:rPr>
        <w:t>specifically</w:t>
      </w:r>
      <w:r w:rsidR="7692893D" w:rsidRPr="00E668A7">
        <w:rPr>
          <w:rFonts w:ascii="HelveticaNeueLT Std" w:eastAsia="Helvetica Neue Thin" w:hAnsi="HelveticaNeueLT Std" w:cs="Helvetica Neue Thin"/>
        </w:rPr>
        <w:t xml:space="preserve"> how we might slow down the journey from one to many long-term conditions.</w:t>
      </w:r>
      <w:r w:rsidR="00B55388">
        <w:rPr>
          <w:rFonts w:ascii="HelveticaNeueLT Std" w:eastAsia="Helvetica Neue Thin" w:hAnsi="HelveticaNeueLT Std" w:cs="Helvetica Neue Thin"/>
        </w:rPr>
        <w:t xml:space="preserve"> </w:t>
      </w:r>
      <w:r w:rsidR="00793F1E">
        <w:rPr>
          <w:rFonts w:ascii="HelveticaNeueLT Std" w:eastAsia="Helvetica Neue Thin" w:hAnsi="HelveticaNeueLT Std" w:cs="Helvetica Neue Thin"/>
        </w:rPr>
        <w:t>The Charity</w:t>
      </w:r>
      <w:r w:rsidR="00B55388">
        <w:rPr>
          <w:rFonts w:ascii="HelveticaNeueLT Std" w:eastAsia="Helvetica Neue Thin" w:hAnsi="HelveticaNeueLT Std" w:cs="Helvetica Neue Thin"/>
        </w:rPr>
        <w:t xml:space="preserve"> is looking for researchers who can help to develop</w:t>
      </w:r>
      <w:r w:rsidR="00793F1E">
        <w:rPr>
          <w:rFonts w:ascii="HelveticaNeueLT Std" w:eastAsia="Helvetica Neue Thin" w:hAnsi="HelveticaNeueLT Std" w:cs="Helvetica Neue Thin"/>
        </w:rPr>
        <w:t xml:space="preserve"> our</w:t>
      </w:r>
      <w:r w:rsidR="00B55388">
        <w:rPr>
          <w:rFonts w:ascii="HelveticaNeueLT Std" w:eastAsia="Helvetica Neue Thin" w:hAnsi="HelveticaNeueLT Std" w:cs="Helvetica Neue Thin"/>
        </w:rPr>
        <w:t xml:space="preserve"> understanding of how and why people progress from one to many long-term conditions</w:t>
      </w:r>
      <w:r w:rsidR="0086373D">
        <w:rPr>
          <w:rFonts w:ascii="HelveticaNeueLT Std" w:eastAsia="Helvetica Neue Thin" w:hAnsi="HelveticaNeueLT Std" w:cs="Helvetica Neue Thin"/>
        </w:rPr>
        <w:t>,</w:t>
      </w:r>
      <w:r w:rsidR="006C2885">
        <w:rPr>
          <w:rFonts w:ascii="HelveticaNeueLT Std" w:eastAsia="Helvetica Neue Thin" w:hAnsi="HelveticaNeueLT Std" w:cs="Helvetica Neue Thin"/>
        </w:rPr>
        <w:t xml:space="preserve"> including</w:t>
      </w:r>
      <w:r w:rsidR="0086373D">
        <w:rPr>
          <w:rFonts w:ascii="HelveticaNeueLT Std" w:eastAsia="Helvetica Neue Thin" w:hAnsi="HelveticaNeueLT Std" w:cs="Helvetica Neue Thin"/>
        </w:rPr>
        <w:t xml:space="preserve"> risk and protective factors</w:t>
      </w:r>
      <w:r w:rsidR="00410113">
        <w:rPr>
          <w:rFonts w:ascii="HelveticaNeueLT Std" w:eastAsia="Helvetica Neue Thin" w:hAnsi="HelveticaNeueLT Std" w:cs="Helvetica Neue Thin"/>
        </w:rPr>
        <w:t xml:space="preserve"> and what interventions might help to slow or reduce this progression.</w:t>
      </w:r>
      <w:r w:rsidR="00030A21">
        <w:rPr>
          <w:rFonts w:ascii="HelveticaNeueLT Std" w:eastAsia="Helvetica Neue Thin" w:hAnsi="HelveticaNeueLT Std" w:cs="Helvetica Neue Thin"/>
        </w:rPr>
        <w:t xml:space="preserve"> More about this programme is available </w:t>
      </w:r>
      <w:hyperlink r:id="rId11" w:history="1">
        <w:r w:rsidR="00030A21" w:rsidRPr="00030A21">
          <w:rPr>
            <w:rStyle w:val="Hyperlink"/>
            <w:rFonts w:ascii="HelveticaNeueLT Std" w:eastAsia="Helvetica Neue Thin" w:hAnsi="HelveticaNeueLT Std" w:cs="Helvetica Neue Thin"/>
          </w:rPr>
          <w:t>here</w:t>
        </w:r>
      </w:hyperlink>
      <w:r w:rsidR="00030A21">
        <w:rPr>
          <w:rFonts w:ascii="HelveticaNeueLT Std" w:eastAsia="Helvetica Neue Thin" w:hAnsi="HelveticaNeueLT Std" w:cs="Helvetica Neue Thin"/>
        </w:rPr>
        <w:t>.</w:t>
      </w:r>
    </w:p>
    <w:p w14:paraId="36E7F7D0" w14:textId="0BF359CC" w:rsidR="00AF3AF6" w:rsidRDefault="00AF3AF6" w:rsidP="7692893D">
      <w:pPr>
        <w:spacing w:after="0" w:line="276" w:lineRule="auto"/>
        <w:rPr>
          <w:rFonts w:ascii="HelveticaNeueLT Std" w:eastAsia="Helvetica Neue Thin" w:hAnsi="HelveticaNeueLT Std" w:cs="Helvetica Neue Thin"/>
        </w:rPr>
      </w:pPr>
    </w:p>
    <w:p w14:paraId="40AD5F13" w14:textId="21487E1E" w:rsidR="00BE1D53" w:rsidRDefault="00B7677C" w:rsidP="00EC6D14">
      <w:pPr>
        <w:spacing w:after="0"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t>T</w:t>
      </w:r>
      <w:r w:rsidR="00410113">
        <w:rPr>
          <w:rFonts w:ascii="HelveticaNeueLT Std" w:eastAsia="Helvetica Neue Thin" w:hAnsi="HelveticaNeueLT Std" w:cs="Helvetica Neue Thin"/>
        </w:rPr>
        <w:t xml:space="preserve">he Charity </w:t>
      </w:r>
      <w:r w:rsidR="0041794F">
        <w:rPr>
          <w:rFonts w:ascii="HelveticaNeueLT Std" w:eastAsia="Helvetica Neue Thin" w:hAnsi="HelveticaNeueLT Std" w:cs="Helvetica Neue Thin"/>
        </w:rPr>
        <w:t xml:space="preserve">feels that researchers from across the academic spectrum </w:t>
      </w:r>
      <w:r>
        <w:rPr>
          <w:rFonts w:ascii="HelveticaNeueLT Std" w:eastAsia="Helvetica Neue Thin" w:hAnsi="HelveticaNeueLT Std" w:cs="Helvetica Neue Thin"/>
        </w:rPr>
        <w:t>could</w:t>
      </w:r>
      <w:r w:rsidR="0041794F">
        <w:rPr>
          <w:rFonts w:ascii="HelveticaNeueLT Std" w:eastAsia="Helvetica Neue Thin" w:hAnsi="HelveticaNeueLT Std" w:cs="Helvetica Neue Thin"/>
        </w:rPr>
        <w:t xml:space="preserve"> conduct research which helps to develop this understanding</w:t>
      </w:r>
      <w:r>
        <w:rPr>
          <w:rFonts w:ascii="HelveticaNeueLT Std" w:eastAsia="Helvetica Neue Thin" w:hAnsi="HelveticaNeueLT Std" w:cs="Helvetica Neue Thin"/>
        </w:rPr>
        <w:t xml:space="preserve"> and would welcome applications from </w:t>
      </w:r>
      <w:r w:rsidR="00F4159A">
        <w:rPr>
          <w:rFonts w:ascii="HelveticaNeueLT Std" w:eastAsia="Helvetica Neue Thin" w:hAnsi="HelveticaNeueLT Std" w:cs="Helvetica Neue Thin"/>
        </w:rPr>
        <w:t xml:space="preserve">different disciplines, </w:t>
      </w:r>
      <w:r w:rsidR="00110426">
        <w:rPr>
          <w:rFonts w:ascii="HelveticaNeueLT Std" w:eastAsia="Helvetica Neue Thin" w:hAnsi="HelveticaNeueLT Std" w:cs="Helvetica Neue Thin"/>
        </w:rPr>
        <w:t>including, but not limited to</w:t>
      </w:r>
      <w:r w:rsidR="000E6CFD">
        <w:rPr>
          <w:rFonts w:ascii="HelveticaNeueLT Std" w:eastAsia="Helvetica Neue Thin" w:hAnsi="HelveticaNeueLT Std" w:cs="Helvetica Neue Thin"/>
        </w:rPr>
        <w:t xml:space="preserve"> sociologists, political scientists, </w:t>
      </w:r>
      <w:r w:rsidR="006E28AD">
        <w:rPr>
          <w:rFonts w:ascii="HelveticaNeueLT Std" w:eastAsia="Helvetica Neue Thin" w:hAnsi="HelveticaNeueLT Std" w:cs="Helvetica Neue Thin"/>
        </w:rPr>
        <w:t>epidemiologists,</w:t>
      </w:r>
      <w:r w:rsidR="00B91150">
        <w:rPr>
          <w:rFonts w:ascii="HelveticaNeueLT Std" w:eastAsia="Helvetica Neue Thin" w:hAnsi="HelveticaNeueLT Std" w:cs="Helvetica Neue Thin"/>
        </w:rPr>
        <w:t xml:space="preserve"> </w:t>
      </w:r>
      <w:r w:rsidR="00B167BD">
        <w:rPr>
          <w:rFonts w:ascii="HelveticaNeueLT Std" w:eastAsia="Helvetica Neue Thin" w:hAnsi="HelveticaNeueLT Std" w:cs="Helvetica Neue Thin"/>
        </w:rPr>
        <w:t>human geographers</w:t>
      </w:r>
      <w:r w:rsidR="00030A21">
        <w:rPr>
          <w:rFonts w:ascii="HelveticaNeueLT Std" w:eastAsia="Helvetica Neue Thin" w:hAnsi="HelveticaNeueLT Std" w:cs="Helvetica Neue Thin"/>
        </w:rPr>
        <w:t xml:space="preserve"> and others. </w:t>
      </w:r>
    </w:p>
    <w:p w14:paraId="19825454" w14:textId="37E9D3E9" w:rsidR="00030A21" w:rsidRDefault="00030A21" w:rsidP="00EC6D14">
      <w:pPr>
        <w:spacing w:after="0" w:line="276" w:lineRule="auto"/>
        <w:rPr>
          <w:rFonts w:ascii="HelveticaNeueLT Std" w:eastAsia="Helvetica Neue Thin" w:hAnsi="HelveticaNeueLT Std" w:cs="Helvetica Neue Thin"/>
        </w:rPr>
      </w:pPr>
    </w:p>
    <w:p w14:paraId="308ECAC5" w14:textId="77777777" w:rsidR="00110426" w:rsidRDefault="00110426" w:rsidP="00EC6D14">
      <w:pPr>
        <w:spacing w:after="0" w:line="276" w:lineRule="auto"/>
        <w:rPr>
          <w:rFonts w:ascii="HelveticaNeueLT Std" w:eastAsia="Arial" w:hAnsi="HelveticaNeueLT Std" w:cs="Arial"/>
          <w:b/>
          <w:bCs/>
          <w:color w:val="551F75"/>
          <w:sz w:val="28"/>
          <w:szCs w:val="28"/>
        </w:rPr>
      </w:pPr>
    </w:p>
    <w:p w14:paraId="08B23AED" w14:textId="38877C03" w:rsidR="00AF3AF6" w:rsidRPr="00E668A7" w:rsidRDefault="51EC1EE2" w:rsidP="7692893D">
      <w:pPr>
        <w:spacing w:after="100" w:line="276" w:lineRule="auto"/>
        <w:rPr>
          <w:rFonts w:ascii="HelveticaNeueLT Std" w:eastAsia="Arial" w:hAnsi="HelveticaNeueLT Std" w:cs="Arial"/>
          <w:b/>
          <w:bCs/>
          <w:color w:val="551F75"/>
          <w:sz w:val="32"/>
          <w:szCs w:val="32"/>
        </w:rPr>
      </w:pPr>
      <w:r w:rsidRPr="00E668A7">
        <w:rPr>
          <w:rFonts w:ascii="HelveticaNeueLT Std" w:eastAsia="Arial" w:hAnsi="HelveticaNeueLT Std" w:cs="Arial"/>
          <w:b/>
          <w:bCs/>
          <w:color w:val="551F75"/>
          <w:sz w:val="28"/>
          <w:szCs w:val="28"/>
        </w:rPr>
        <w:t>Background</w:t>
      </w:r>
    </w:p>
    <w:p w14:paraId="63012B61" w14:textId="77777777" w:rsidR="005C174F" w:rsidRPr="00E668A7" w:rsidRDefault="005C174F" w:rsidP="7692893D">
      <w:pPr>
        <w:spacing w:after="0" w:line="276" w:lineRule="auto"/>
        <w:rPr>
          <w:rFonts w:ascii="HelveticaNeueLT Std" w:eastAsia="Helvetica Neue Thin" w:hAnsi="HelveticaNeueLT Std" w:cs="Helvetica Neue Thin"/>
        </w:rPr>
      </w:pPr>
    </w:p>
    <w:p w14:paraId="12DF0EF1" w14:textId="09D6877F" w:rsidR="00AF3AF6" w:rsidRPr="00E668A7" w:rsidRDefault="0013203C" w:rsidP="7692893D">
      <w:pPr>
        <w:spacing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t>Long-term conditions ar</w:t>
      </w:r>
      <w:r w:rsidR="006E6ECF">
        <w:rPr>
          <w:rFonts w:ascii="HelveticaNeueLT Std" w:eastAsia="Helvetica Neue Thin" w:hAnsi="HelveticaNeueLT Std" w:cs="Helvetica Neue Thin"/>
        </w:rPr>
        <w:t>e</w:t>
      </w:r>
      <w:r>
        <w:rPr>
          <w:rFonts w:ascii="HelveticaNeueLT Std" w:eastAsia="Helvetica Neue Thin" w:hAnsi="HelveticaNeueLT Std" w:cs="Helvetica Neue Thin"/>
        </w:rPr>
        <w:t xml:space="preserve"> health conditions for which there is currently no cure, but which can be managed with drugs and other treatments. </w:t>
      </w:r>
      <w:r w:rsidR="00AF3AF6" w:rsidRPr="00E668A7">
        <w:rPr>
          <w:rFonts w:ascii="HelveticaNeueLT Std" w:eastAsia="Helvetica Neue Thin" w:hAnsi="HelveticaNeueLT Std" w:cs="Helvetica Neue Thin"/>
        </w:rPr>
        <w:t xml:space="preserve">Recent research, funded by </w:t>
      </w:r>
      <w:r w:rsidR="00F86CD1">
        <w:rPr>
          <w:rFonts w:ascii="HelveticaNeueLT Std" w:eastAsia="Helvetica Neue Thin" w:hAnsi="HelveticaNeueLT Std" w:cs="Helvetica Neue Thin"/>
        </w:rPr>
        <w:t xml:space="preserve">the Multiple </w:t>
      </w:r>
      <w:r w:rsidR="00C5706F">
        <w:rPr>
          <w:rFonts w:ascii="HelveticaNeueLT Std" w:eastAsia="Helvetica Neue Thin" w:hAnsi="HelveticaNeueLT Std" w:cs="Helvetica Neue Thin"/>
        </w:rPr>
        <w:t>Long-Term</w:t>
      </w:r>
      <w:r w:rsidR="00F86CD1">
        <w:rPr>
          <w:rFonts w:ascii="HelveticaNeueLT Std" w:eastAsia="Helvetica Neue Thin" w:hAnsi="HelveticaNeueLT Std" w:cs="Helvetica Neue Thin"/>
        </w:rPr>
        <w:t xml:space="preserve"> Conditions Programme at </w:t>
      </w:r>
      <w:r w:rsidR="00AF3AF6" w:rsidRPr="00E668A7">
        <w:rPr>
          <w:rFonts w:ascii="HelveticaNeueLT Std" w:eastAsia="Helvetica Neue Thin" w:hAnsi="HelveticaNeueLT Std" w:cs="Helvetica Neue Thin"/>
        </w:rPr>
        <w:t xml:space="preserve">Guy’s and St </w:t>
      </w:r>
      <w:proofErr w:type="spellStart"/>
      <w:r w:rsidR="00AF3AF6" w:rsidRPr="00E668A7">
        <w:rPr>
          <w:rFonts w:ascii="HelveticaNeueLT Std" w:eastAsia="Helvetica Neue Thin" w:hAnsi="HelveticaNeueLT Std" w:cs="Helvetica Neue Thin"/>
        </w:rPr>
        <w:t>Thomas’</w:t>
      </w:r>
      <w:proofErr w:type="spellEnd"/>
      <w:r w:rsidR="00AF3AF6" w:rsidRPr="00E668A7">
        <w:rPr>
          <w:rFonts w:ascii="HelveticaNeueLT Std" w:eastAsia="Helvetica Neue Thin" w:hAnsi="HelveticaNeueLT Std" w:cs="Helvetica Neue Thin"/>
        </w:rPr>
        <w:t xml:space="preserve"> Charity</w:t>
      </w:r>
      <w:r w:rsidR="00AF3AF6" w:rsidRPr="00E668A7">
        <w:rPr>
          <w:rStyle w:val="FootnoteReference"/>
          <w:rFonts w:ascii="HelveticaNeueLT Std" w:eastAsia="Helvetica Neue Thin" w:hAnsi="HelveticaNeueLT Std" w:cs="Helvetica Neue Thin"/>
        </w:rPr>
        <w:footnoteReference w:id="1"/>
      </w:r>
      <w:r w:rsidR="00AF3AF6" w:rsidRPr="00E668A7">
        <w:rPr>
          <w:rFonts w:ascii="HelveticaNeueLT Std" w:eastAsia="Helvetica Neue Thin" w:hAnsi="HelveticaNeueLT Std" w:cs="Helvetica Neue Thin"/>
        </w:rPr>
        <w:t xml:space="preserve">, has explored people’s progression from one to many long-term conditions in an urban environment and </w:t>
      </w:r>
      <w:r w:rsidR="002F6433">
        <w:rPr>
          <w:rFonts w:ascii="HelveticaNeueLT Std" w:eastAsia="Helvetica Neue Thin" w:hAnsi="HelveticaNeueLT Std" w:cs="Helvetica Neue Thin"/>
        </w:rPr>
        <w:t>some key findings are</w:t>
      </w:r>
      <w:r w:rsidR="00AF3AF6" w:rsidRPr="00E668A7">
        <w:rPr>
          <w:rFonts w:ascii="HelveticaNeueLT Std" w:eastAsia="Helvetica Neue Thin" w:hAnsi="HelveticaNeueLT Std" w:cs="Helvetica Neue Thin"/>
        </w:rPr>
        <w:t>:</w:t>
      </w:r>
    </w:p>
    <w:p w14:paraId="124CF75D" w14:textId="02C10EF1" w:rsidR="00AF3AF6" w:rsidRPr="00E668A7" w:rsidRDefault="7692893D" w:rsidP="7692893D">
      <w:pPr>
        <w:pStyle w:val="ListParagraph"/>
        <w:numPr>
          <w:ilvl w:val="0"/>
          <w:numId w:val="2"/>
        </w:numPr>
        <w:spacing w:line="276" w:lineRule="auto"/>
        <w:rPr>
          <w:rFonts w:ascii="HelveticaNeueLT Std" w:hAnsi="HelveticaNeueLT Std"/>
        </w:rPr>
      </w:pPr>
      <w:r w:rsidRPr="00E668A7">
        <w:rPr>
          <w:rFonts w:ascii="HelveticaNeueLT Std" w:eastAsia="Helvetica Neue Thin" w:hAnsi="HelveticaNeueLT Std" w:cs="Helvetica Neue Thin"/>
        </w:rPr>
        <w:t>Although multiple long-term conditions are seen in older age and linked to frailty, this is not just a problem of old age. In Lambeth &amp; Southwark</w:t>
      </w:r>
      <w:r w:rsidR="00834929">
        <w:rPr>
          <w:rFonts w:ascii="HelveticaNeueLT Std" w:eastAsia="Helvetica Neue Thin" w:hAnsi="HelveticaNeueLT Std" w:cs="Helvetica Neue Thin"/>
        </w:rPr>
        <w:t xml:space="preserve"> people are developing their first </w:t>
      </w:r>
      <w:r w:rsidR="00834929">
        <w:rPr>
          <w:rFonts w:ascii="HelveticaNeueLT Std" w:eastAsia="Helvetica Neue Thin" w:hAnsi="HelveticaNeueLT Std" w:cs="Helvetica Neue Thin"/>
        </w:rPr>
        <w:lastRenderedPageBreak/>
        <w:t>condition in their 30s and, if they progress to a second condition, this happens</w:t>
      </w:r>
      <w:r w:rsidR="00662D5F">
        <w:rPr>
          <w:rFonts w:ascii="HelveticaNeueLT Std" w:eastAsia="Helvetica Neue Thin" w:hAnsi="HelveticaNeueLT Std" w:cs="Helvetica Neue Thin"/>
        </w:rPr>
        <w:t xml:space="preserve"> </w:t>
      </w:r>
      <w:r w:rsidR="00834929">
        <w:rPr>
          <w:rFonts w:ascii="HelveticaNeueLT Std" w:eastAsia="Helvetica Neue Thin" w:hAnsi="HelveticaNeueLT Std" w:cs="Helvetica Neue Thin"/>
        </w:rPr>
        <w:t>in their 40s</w:t>
      </w:r>
      <w:r w:rsidR="00D1219C">
        <w:rPr>
          <w:rFonts w:ascii="HelveticaNeueLT Std" w:eastAsia="Helvetica Neue Thin" w:hAnsi="HelveticaNeueLT Std" w:cs="Helvetica Neue Thin"/>
        </w:rPr>
        <w:t>.</w:t>
      </w:r>
      <w:r w:rsidR="0017365E">
        <w:rPr>
          <w:rFonts w:ascii="HelveticaNeueLT Std" w:eastAsia="Helvetica Neue Thin" w:hAnsi="HelveticaNeueLT Std" w:cs="Helvetica Neue Thin"/>
        </w:rPr>
        <w:t xml:space="preserve"> </w:t>
      </w:r>
      <w:r w:rsidR="004A514D">
        <w:rPr>
          <w:rFonts w:ascii="HelveticaNeueLT Std" w:eastAsia="Helvetica Neue Thin" w:hAnsi="HelveticaNeueLT Std" w:cs="Helvetica Neue Thin"/>
        </w:rPr>
        <w:t xml:space="preserve">Large numbers of </w:t>
      </w:r>
      <w:r w:rsidRPr="00E668A7">
        <w:rPr>
          <w:rFonts w:ascii="HelveticaNeueLT Std" w:eastAsia="Helvetica Neue Thin" w:hAnsi="HelveticaNeueLT Std" w:cs="Helvetica Neue Thin"/>
        </w:rPr>
        <w:t>people with multiple long-term conditions are of working age.</w:t>
      </w:r>
    </w:p>
    <w:p w14:paraId="6928F975" w14:textId="0BC6A1DA" w:rsidR="00287975" w:rsidRPr="003177B8" w:rsidRDefault="002F1379" w:rsidP="002F1379">
      <w:pPr>
        <w:pStyle w:val="ListParagraph"/>
        <w:numPr>
          <w:ilvl w:val="0"/>
          <w:numId w:val="2"/>
        </w:numPr>
        <w:spacing w:line="276" w:lineRule="auto"/>
        <w:rPr>
          <w:rFonts w:ascii="HelveticaNeueLT Std" w:hAnsi="HelveticaNeueLT Std"/>
        </w:rPr>
      </w:pPr>
      <w:r w:rsidRPr="00E16331">
        <w:rPr>
          <w:rFonts w:ascii="HelveticaNeueLT Std" w:eastAsia="Helvetica Neue Thin" w:hAnsi="HelveticaNeueLT Std" w:cs="Helvetica Neue Thin"/>
        </w:rPr>
        <w:t xml:space="preserve">People experience MLTCs </w:t>
      </w:r>
      <w:r w:rsidR="00231B19">
        <w:rPr>
          <w:rFonts w:ascii="HelveticaNeueLT Std" w:eastAsia="Helvetica Neue Thin" w:hAnsi="HelveticaNeueLT Std" w:cs="Helvetica Neue Thin"/>
        </w:rPr>
        <w:t>in complex ways. F</w:t>
      </w:r>
      <w:r w:rsidRPr="00E16331">
        <w:rPr>
          <w:rFonts w:ascii="HelveticaNeueLT Std" w:eastAsia="Helvetica Neue Thin" w:hAnsi="HelveticaNeueLT Std" w:cs="Helvetica Neue Thin"/>
        </w:rPr>
        <w:t>ocusing on individual diseases underplays the cumulative impact on individual health and wellbeing and the wider impact on individual’s lives</w:t>
      </w:r>
      <w:r w:rsidR="00287975">
        <w:rPr>
          <w:rStyle w:val="FootnoteReference"/>
          <w:rFonts w:ascii="HelveticaNeueLT Std" w:hAnsi="HelveticaNeueLT Std"/>
        </w:rPr>
        <w:footnoteReference w:id="2"/>
      </w:r>
      <w:r w:rsidR="00976A81">
        <w:rPr>
          <w:rFonts w:ascii="HelveticaNeueLT Std" w:eastAsia="Helvetica Neue Thin" w:hAnsi="HelveticaNeueLT Std" w:cs="Helvetica Neue Thin"/>
        </w:rPr>
        <w:t>.</w:t>
      </w:r>
    </w:p>
    <w:p w14:paraId="38A9C971" w14:textId="2AEBD9EA" w:rsidR="00AD3A71" w:rsidRPr="00AD3A71" w:rsidRDefault="003177B8" w:rsidP="00220334">
      <w:pPr>
        <w:pStyle w:val="ListParagraph"/>
        <w:numPr>
          <w:ilvl w:val="0"/>
          <w:numId w:val="2"/>
        </w:numPr>
        <w:spacing w:line="276" w:lineRule="auto"/>
        <w:rPr>
          <w:rFonts w:ascii="HelveticaNeueLT Std" w:hAnsi="HelveticaNeueLT Std"/>
        </w:rPr>
      </w:pPr>
      <w:r w:rsidRPr="00AD3A71">
        <w:rPr>
          <w:rFonts w:ascii="HelveticaNeueLT Std" w:eastAsia="Helvetica Neue Thin" w:hAnsi="HelveticaNeueLT Std" w:cs="Helvetica Neue Thin"/>
        </w:rPr>
        <w:t>People’s progression from one condition to many varies significantly,</w:t>
      </w:r>
      <w:r w:rsidRPr="00AD3A71">
        <w:rPr>
          <w:rFonts w:ascii="HelveticaNeueLT Std" w:eastAsia="Helvetica Neue Thin" w:hAnsi="HelveticaNeueLT Std" w:cs="Helvetica Neue Thin"/>
          <w:b/>
          <w:bCs/>
        </w:rPr>
        <w:t xml:space="preserve"> </w:t>
      </w:r>
      <w:r w:rsidRPr="00AD3A71">
        <w:rPr>
          <w:rFonts w:ascii="HelveticaNeueLT Std" w:eastAsia="Helvetica Neue Thin" w:hAnsi="HelveticaNeueLT Std" w:cs="Helvetica Neue Thin"/>
        </w:rPr>
        <w:t>influenced by mix of health and social factors – including income, ethnicity and social context</w:t>
      </w:r>
      <w:r w:rsidR="00F9182E">
        <w:rPr>
          <w:rFonts w:ascii="HelveticaNeueLT Std" w:eastAsia="Helvetica Neue Thin" w:hAnsi="HelveticaNeueLT Std" w:cs="Helvetica Neue Thin"/>
        </w:rPr>
        <w:t>.</w:t>
      </w:r>
      <w:r w:rsidRPr="00AD3A71">
        <w:rPr>
          <w:rFonts w:ascii="HelveticaNeueLT Std" w:eastAsia="Helvetica Neue Thin" w:hAnsi="HelveticaNeueLT Std" w:cs="Helvetica Neue Thin"/>
        </w:rPr>
        <w:t xml:space="preserve"> </w:t>
      </w:r>
    </w:p>
    <w:p w14:paraId="35CE57A0" w14:textId="04678E80" w:rsidR="00DE4BA4" w:rsidRPr="00AD3A71" w:rsidRDefault="00DE4BA4" w:rsidP="00AD3A71">
      <w:pPr>
        <w:spacing w:line="276" w:lineRule="auto"/>
        <w:rPr>
          <w:rFonts w:ascii="HelveticaNeueLT Std" w:hAnsi="HelveticaNeueLT Std"/>
        </w:rPr>
      </w:pPr>
      <w:r w:rsidRPr="00AD3A71">
        <w:rPr>
          <w:rFonts w:ascii="HelveticaNeueLT Std" w:hAnsi="HelveticaNeueLT Std"/>
        </w:rPr>
        <w:t xml:space="preserve">Importantly, the research </w:t>
      </w:r>
      <w:r w:rsidR="008E5BD6" w:rsidRPr="00AD3A71">
        <w:rPr>
          <w:rFonts w:ascii="HelveticaNeueLT Std" w:hAnsi="HelveticaNeueLT Std"/>
        </w:rPr>
        <w:t>highlights</w:t>
      </w:r>
      <w:r w:rsidRPr="00AD3A71">
        <w:rPr>
          <w:rFonts w:ascii="HelveticaNeueLT Std" w:hAnsi="HelveticaNeueLT Std"/>
        </w:rPr>
        <w:t xml:space="preserve"> </w:t>
      </w:r>
      <w:r w:rsidR="00CE0C03" w:rsidRPr="00CA4430">
        <w:rPr>
          <w:rFonts w:ascii="HelveticaNeueLT Std" w:hAnsi="HelveticaNeueLT Std"/>
          <w:b/>
          <w:bCs/>
        </w:rPr>
        <w:t>inequalities amongst our population</w:t>
      </w:r>
      <w:r w:rsidR="00CE0C03" w:rsidRPr="00AD3A71">
        <w:rPr>
          <w:rFonts w:ascii="HelveticaNeueLT Std" w:hAnsi="HelveticaNeueLT Std"/>
        </w:rPr>
        <w:t xml:space="preserve"> and </w:t>
      </w:r>
      <w:r w:rsidRPr="00AD3A71">
        <w:rPr>
          <w:rFonts w:ascii="HelveticaNeueLT Std" w:hAnsi="HelveticaNeueLT Std"/>
        </w:rPr>
        <w:t xml:space="preserve">the significance of the </w:t>
      </w:r>
      <w:r w:rsidRPr="000B7284">
        <w:rPr>
          <w:rFonts w:ascii="HelveticaNeueLT Std" w:hAnsi="HelveticaNeueLT Std"/>
          <w:b/>
          <w:bCs/>
        </w:rPr>
        <w:t>wider determinants of health</w:t>
      </w:r>
      <w:r w:rsidRPr="00AD3A71">
        <w:rPr>
          <w:rFonts w:ascii="HelveticaNeueLT Std" w:hAnsi="HelveticaNeueLT Std"/>
        </w:rPr>
        <w:t xml:space="preserve"> </w:t>
      </w:r>
      <w:r w:rsidR="0074294C">
        <w:rPr>
          <w:rFonts w:ascii="HelveticaNeueLT Std" w:hAnsi="HelveticaNeueLT Std"/>
        </w:rPr>
        <w:t xml:space="preserve">(for example housing, employment, </w:t>
      </w:r>
      <w:r w:rsidR="004A128E">
        <w:rPr>
          <w:rFonts w:ascii="HelveticaNeueLT Std" w:hAnsi="HelveticaNeueLT Std"/>
        </w:rPr>
        <w:t xml:space="preserve">financial circumstances) </w:t>
      </w:r>
      <w:r w:rsidRPr="00AD3A71">
        <w:rPr>
          <w:rFonts w:ascii="HelveticaNeueLT Std" w:hAnsi="HelveticaNeueLT Std"/>
        </w:rPr>
        <w:t>on the progression of long-term conditions</w:t>
      </w:r>
      <w:r w:rsidR="0074294C">
        <w:rPr>
          <w:rFonts w:ascii="HelveticaNeueLT Std" w:hAnsi="HelveticaNeueLT Std"/>
        </w:rPr>
        <w:t>, for example</w:t>
      </w:r>
      <w:r w:rsidR="00304FB0" w:rsidRPr="00AD3A71">
        <w:rPr>
          <w:rFonts w:ascii="HelveticaNeueLT Std" w:hAnsi="HelveticaNeueLT Std"/>
        </w:rPr>
        <w:t>:</w:t>
      </w:r>
      <w:r w:rsidR="008E5BD6" w:rsidRPr="00AD3A71">
        <w:rPr>
          <w:rFonts w:ascii="HelveticaNeueLT Std" w:hAnsi="HelveticaNeueLT Std"/>
        </w:rPr>
        <w:t xml:space="preserve"> </w:t>
      </w:r>
    </w:p>
    <w:p w14:paraId="74CFE767" w14:textId="77777777" w:rsidR="005573C9" w:rsidRDefault="00DE4BA4" w:rsidP="005573C9">
      <w:pPr>
        <w:pStyle w:val="ListParagraph"/>
        <w:numPr>
          <w:ilvl w:val="0"/>
          <w:numId w:val="2"/>
        </w:numPr>
        <w:spacing w:after="0"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t>B</w:t>
      </w:r>
      <w:r w:rsidRPr="00DE4BA4">
        <w:rPr>
          <w:rFonts w:ascii="HelveticaNeueLT Std" w:eastAsia="Helvetica Neue Thin" w:hAnsi="HelveticaNeueLT Std" w:cs="Helvetica Neue Thin"/>
        </w:rPr>
        <w:t xml:space="preserve">lack communities make up 18% of the local adult population, </w:t>
      </w:r>
      <w:r>
        <w:rPr>
          <w:rFonts w:ascii="HelveticaNeueLT Std" w:eastAsia="Helvetica Neue Thin" w:hAnsi="HelveticaNeueLT Std" w:cs="Helvetica Neue Thin"/>
        </w:rPr>
        <w:t xml:space="preserve">but </w:t>
      </w:r>
      <w:r w:rsidRPr="00DE4BA4">
        <w:rPr>
          <w:rFonts w:ascii="HelveticaNeueLT Std" w:eastAsia="Helvetica Neue Thin" w:hAnsi="HelveticaNeueLT Std" w:cs="Helvetica Neue Thin"/>
        </w:rPr>
        <w:t xml:space="preserve">they account for 27% of people with multiple long-term conditions. </w:t>
      </w:r>
    </w:p>
    <w:p w14:paraId="6E2B0B90" w14:textId="05C1BF2D" w:rsidR="004A128E" w:rsidRPr="005573C9" w:rsidRDefault="00DE4BA4" w:rsidP="005573C9">
      <w:pPr>
        <w:pStyle w:val="ListParagraph"/>
        <w:numPr>
          <w:ilvl w:val="0"/>
          <w:numId w:val="2"/>
        </w:numPr>
        <w:spacing w:after="0" w:line="276" w:lineRule="auto"/>
        <w:rPr>
          <w:rFonts w:ascii="HelveticaNeueLT Std" w:eastAsia="Helvetica Neue Thin" w:hAnsi="HelveticaNeueLT Std" w:cs="Helvetica Neue Thin"/>
        </w:rPr>
      </w:pPr>
      <w:r w:rsidRPr="005573C9">
        <w:rPr>
          <w:rFonts w:ascii="HelveticaNeueLT Std" w:eastAsia="Helvetica Neue Thin" w:hAnsi="HelveticaNeueLT Std" w:cs="Helvetica Neue Thin"/>
        </w:rPr>
        <w:t xml:space="preserve">Those living in the most deprived areas </w:t>
      </w:r>
      <w:r w:rsidR="00DE4994" w:rsidRPr="005573C9">
        <w:rPr>
          <w:rFonts w:ascii="HelveticaNeueLT Std" w:eastAsia="Helvetica Neue Thin" w:hAnsi="HelveticaNeueLT Std" w:cs="Helvetica Neue Thin"/>
        </w:rPr>
        <w:t xml:space="preserve">in Lambeth and Southwark </w:t>
      </w:r>
      <w:r w:rsidRPr="005573C9">
        <w:rPr>
          <w:rFonts w:ascii="HelveticaNeueLT Std" w:eastAsia="Helvetica Neue Thin" w:hAnsi="HelveticaNeueLT Std" w:cs="Helvetica Neue Thin"/>
        </w:rPr>
        <w:t>are developing conditions on average 10 years earlier than those living in the least deprived areas.</w:t>
      </w:r>
    </w:p>
    <w:p w14:paraId="30DF6B41" w14:textId="77777777" w:rsidR="005573C9" w:rsidRDefault="005573C9" w:rsidP="7692893D">
      <w:pPr>
        <w:spacing w:after="100"/>
        <w:rPr>
          <w:rFonts w:ascii="HelveticaNeueLT Std" w:eastAsia="Arial" w:hAnsi="HelveticaNeueLT Std" w:cs="Arial"/>
          <w:b/>
          <w:bCs/>
          <w:color w:val="551F75"/>
          <w:sz w:val="28"/>
          <w:szCs w:val="28"/>
        </w:rPr>
      </w:pPr>
    </w:p>
    <w:p w14:paraId="3AD2BD52" w14:textId="7C5DADBF" w:rsidR="7692893D" w:rsidRPr="00E668A7" w:rsidRDefault="00A34A03" w:rsidP="7692893D">
      <w:pPr>
        <w:spacing w:after="100"/>
        <w:rPr>
          <w:rFonts w:ascii="HelveticaNeueLT Std" w:hAnsi="HelveticaNeueLT Std"/>
        </w:rPr>
      </w:pPr>
      <w:r>
        <w:rPr>
          <w:rFonts w:ascii="HelveticaNeueLT Std" w:eastAsia="Arial" w:hAnsi="HelveticaNeueLT Std" w:cs="Arial"/>
          <w:b/>
          <w:bCs/>
          <w:color w:val="551F75"/>
          <w:sz w:val="28"/>
          <w:szCs w:val="28"/>
        </w:rPr>
        <w:t xml:space="preserve">The </w:t>
      </w:r>
      <w:r w:rsidR="009F68D6">
        <w:rPr>
          <w:rFonts w:ascii="HelveticaNeueLT Std" w:eastAsia="Arial" w:hAnsi="HelveticaNeueLT Std" w:cs="Arial"/>
          <w:b/>
          <w:bCs/>
          <w:color w:val="551F75"/>
          <w:sz w:val="28"/>
          <w:szCs w:val="28"/>
        </w:rPr>
        <w:t>challenge</w:t>
      </w:r>
    </w:p>
    <w:p w14:paraId="18028B9C" w14:textId="77777777" w:rsidR="005D1B74" w:rsidRDefault="005D1B74" w:rsidP="00D33FF7">
      <w:pPr>
        <w:spacing w:after="0" w:line="276" w:lineRule="auto"/>
        <w:rPr>
          <w:rFonts w:ascii="HelveticaNeueLT Std" w:eastAsia="Helvetica Neue Thin" w:hAnsi="HelveticaNeueLT Std" w:cs="Helvetica Neue Thin"/>
        </w:rPr>
      </w:pPr>
    </w:p>
    <w:p w14:paraId="450E2496" w14:textId="2EE4F2AF" w:rsidR="005D1B74" w:rsidRPr="005D1B74" w:rsidRDefault="005D1B74" w:rsidP="00D33FF7">
      <w:pPr>
        <w:spacing w:after="0" w:line="276" w:lineRule="auto"/>
        <w:rPr>
          <w:rFonts w:ascii="HelveticaNeueLT Std" w:eastAsia="Helvetica Neue Thin" w:hAnsi="HelveticaNeueLT Std" w:cs="Helvetica Neue Thin"/>
          <w:b/>
          <w:bCs/>
        </w:rPr>
      </w:pPr>
      <w:r w:rsidRPr="005D1B74">
        <w:rPr>
          <w:rFonts w:ascii="HelveticaNeueLT Std" w:eastAsia="Helvetica Neue Thin" w:hAnsi="HelveticaNeueLT Std" w:cs="Helvetica Neue Thin"/>
          <w:b/>
          <w:bCs/>
        </w:rPr>
        <w:t>What drives progression?</w:t>
      </w:r>
    </w:p>
    <w:p w14:paraId="203EEA89" w14:textId="77777777" w:rsidR="005D1B74" w:rsidRDefault="005D1B74" w:rsidP="00D33FF7">
      <w:pPr>
        <w:spacing w:after="0" w:line="276" w:lineRule="auto"/>
        <w:rPr>
          <w:rFonts w:ascii="HelveticaNeueLT Std" w:eastAsia="Helvetica Neue Thin" w:hAnsi="HelveticaNeueLT Std" w:cs="Helvetica Neue Thin"/>
        </w:rPr>
      </w:pPr>
    </w:p>
    <w:p w14:paraId="11CDB28E" w14:textId="34B2A91A" w:rsidR="00D33FF7" w:rsidRDefault="00D33FF7" w:rsidP="00D33FF7">
      <w:pPr>
        <w:spacing w:after="0"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t>Research into</w:t>
      </w:r>
      <w:r w:rsidR="00E35C4A">
        <w:rPr>
          <w:rFonts w:ascii="HelveticaNeueLT Std" w:eastAsia="Helvetica Neue Thin" w:hAnsi="HelveticaNeueLT Std" w:cs="Helvetica Neue Thin"/>
        </w:rPr>
        <w:t xml:space="preserve"> th</w:t>
      </w:r>
      <w:r w:rsidR="00721DA0">
        <w:rPr>
          <w:rFonts w:ascii="HelveticaNeueLT Std" w:eastAsia="Helvetica Neue Thin" w:hAnsi="HelveticaNeueLT Std" w:cs="Helvetica Neue Thin"/>
        </w:rPr>
        <w:t>e Charity’s areas of interest in terms of</w:t>
      </w:r>
      <w:r>
        <w:rPr>
          <w:rFonts w:ascii="HelveticaNeueLT Std" w:eastAsia="Helvetica Neue Thin" w:hAnsi="HelveticaNeueLT Std" w:cs="Helvetica Neue Thin"/>
        </w:rPr>
        <w:t xml:space="preserve"> multiple long-term conditions is limited.</w:t>
      </w:r>
    </w:p>
    <w:p w14:paraId="26FBA3D5" w14:textId="77777777" w:rsidR="00D33FF7" w:rsidRDefault="00D33FF7" w:rsidP="00D33FF7">
      <w:pPr>
        <w:spacing w:after="0" w:line="276" w:lineRule="auto"/>
        <w:rPr>
          <w:rFonts w:ascii="HelveticaNeueLT Std" w:eastAsia="Helvetica Neue Thin" w:hAnsi="HelveticaNeueLT Std" w:cs="Helvetica Neue Thin"/>
        </w:rPr>
      </w:pPr>
    </w:p>
    <w:p w14:paraId="192C724A" w14:textId="286A9815" w:rsidR="00895622" w:rsidRDefault="002839F0" w:rsidP="00C66EC9">
      <w:pPr>
        <w:spacing w:line="276" w:lineRule="auto"/>
        <w:rPr>
          <w:rFonts w:ascii="HelveticaNeueLT Std" w:eastAsia="Helvetica Neue Thin" w:hAnsi="HelveticaNeueLT Std" w:cs="Helvetica Neue Thin"/>
        </w:rPr>
      </w:pPr>
      <w:r w:rsidRPr="00E668A7">
        <w:rPr>
          <w:rFonts w:ascii="HelveticaNeueLT Std" w:eastAsia="Helvetica Neue Thin" w:hAnsi="HelveticaNeueLT Std" w:cs="Helvetica Neue Thin"/>
        </w:rPr>
        <w:t xml:space="preserve">Previous studies investigating the determinants of multiple long-term conditions have produced </w:t>
      </w:r>
      <w:r>
        <w:rPr>
          <w:rFonts w:ascii="HelveticaNeueLT Std" w:eastAsia="Helvetica Neue Thin" w:hAnsi="HelveticaNeueLT Std" w:cs="Helvetica Neue Thin"/>
        </w:rPr>
        <w:t>inconclusive findings</w:t>
      </w:r>
      <w:r w:rsidRPr="00E668A7">
        <w:rPr>
          <w:rFonts w:ascii="HelveticaNeueLT Std" w:eastAsia="Helvetica Neue Thin" w:hAnsi="HelveticaNeueLT Std" w:cs="Helvetica Neue Thin"/>
        </w:rPr>
        <w:t xml:space="preserve"> and have been largely limited to cross sectional studies</w:t>
      </w:r>
      <w:r w:rsidRPr="00E668A7">
        <w:rPr>
          <w:rStyle w:val="FootnoteReference"/>
          <w:rFonts w:ascii="HelveticaNeueLT Std" w:eastAsia="Helvetica Neue Thin" w:hAnsi="HelveticaNeueLT Std" w:cs="Helvetica Neue Thin"/>
        </w:rPr>
        <w:footnoteReference w:id="3"/>
      </w:r>
      <w:r w:rsidR="00292BC3">
        <w:rPr>
          <w:rFonts w:ascii="HelveticaNeueLT Std" w:eastAsia="Helvetica Neue Thin" w:hAnsi="HelveticaNeueLT Std" w:cs="Helvetica Neue Thin"/>
        </w:rPr>
        <w:t>.</w:t>
      </w:r>
      <w:r w:rsidRPr="00E668A7">
        <w:rPr>
          <w:rFonts w:ascii="HelveticaNeueLT Std" w:eastAsia="Helvetica Neue Thin" w:hAnsi="HelveticaNeueLT Std" w:cs="Helvetica Neue Thin"/>
        </w:rPr>
        <w:t xml:space="preserve"> </w:t>
      </w:r>
      <w:r w:rsidR="006B657A">
        <w:rPr>
          <w:rFonts w:ascii="HelveticaNeueLT Std" w:eastAsia="Helvetica Neue Thin" w:hAnsi="HelveticaNeueLT Std" w:cs="Helvetica Neue Thin"/>
        </w:rPr>
        <w:t>In healthcare, t</w:t>
      </w:r>
      <w:r w:rsidR="00411ECC">
        <w:rPr>
          <w:rFonts w:ascii="HelveticaNeueLT Std" w:eastAsia="Helvetica Neue Thin" w:hAnsi="HelveticaNeueLT Std" w:cs="Helvetica Neue Thin"/>
        </w:rPr>
        <w:t>here has been a lack of l</w:t>
      </w:r>
      <w:r w:rsidR="00C66EC9" w:rsidRPr="00912E84">
        <w:rPr>
          <w:rFonts w:ascii="HelveticaNeueLT Std" w:eastAsia="Helvetica Neue Thin" w:hAnsi="HelveticaNeueLT Std" w:cs="Helvetica Neue Thin"/>
        </w:rPr>
        <w:t xml:space="preserve">ongitudinal studies </w:t>
      </w:r>
      <w:r w:rsidR="00A60FF2">
        <w:rPr>
          <w:rFonts w:ascii="HelveticaNeueLT Std" w:eastAsia="Helvetica Neue Thin" w:hAnsi="HelveticaNeueLT Std" w:cs="Helvetica Neue Thin"/>
        </w:rPr>
        <w:t xml:space="preserve">to help us understand </w:t>
      </w:r>
      <w:r w:rsidR="00C66EC9" w:rsidRPr="00912E84">
        <w:rPr>
          <w:rFonts w:ascii="HelveticaNeueLT Std" w:eastAsia="Helvetica Neue Thin" w:hAnsi="HelveticaNeueLT Std" w:cs="Helvetica Neue Thin"/>
        </w:rPr>
        <w:t>the most common disease clusters</w:t>
      </w:r>
      <w:r w:rsidR="00A60FF2">
        <w:rPr>
          <w:rFonts w:ascii="HelveticaNeueLT Std" w:eastAsia="Helvetica Neue Thin" w:hAnsi="HelveticaNeueLT Std" w:cs="Helvetica Neue Thin"/>
        </w:rPr>
        <w:t xml:space="preserve">, causative factors and rate and nature of </w:t>
      </w:r>
      <w:r w:rsidR="00A60FF2" w:rsidRPr="00912E84">
        <w:rPr>
          <w:rFonts w:ascii="HelveticaNeueLT Std" w:eastAsia="Helvetica Neue Thin" w:hAnsi="HelveticaNeueLT Std" w:cs="Helvetica Neue Thin"/>
        </w:rPr>
        <w:t>progression</w:t>
      </w:r>
      <w:r w:rsidR="00A60FF2">
        <w:rPr>
          <w:rFonts w:ascii="HelveticaNeueLT Std" w:eastAsia="Helvetica Neue Thin" w:hAnsi="HelveticaNeueLT Std" w:cs="Helvetica Neue Thin"/>
        </w:rPr>
        <w:t xml:space="preserve">. </w:t>
      </w:r>
      <w:r w:rsidR="0065684F">
        <w:rPr>
          <w:rFonts w:ascii="HelveticaNeueLT Std" w:eastAsia="Helvetica Neue Thin" w:hAnsi="HelveticaNeueLT Std" w:cs="Helvetica Neue Thin"/>
        </w:rPr>
        <w:t xml:space="preserve">To address this, the Charity has funded a large research project being led by </w:t>
      </w:r>
      <w:r w:rsidR="004247DE">
        <w:rPr>
          <w:rFonts w:ascii="HelveticaNeueLT Std" w:eastAsia="Helvetica Neue Thin" w:hAnsi="HelveticaNeueLT Std" w:cs="Helvetica Neue Thin"/>
        </w:rPr>
        <w:t xml:space="preserve">Dr </w:t>
      </w:r>
      <w:r w:rsidR="00DB6C02">
        <w:rPr>
          <w:rFonts w:ascii="HelveticaNeueLT Std" w:eastAsia="Helvetica Neue Thin" w:hAnsi="HelveticaNeueLT Std" w:cs="Helvetica Neue Thin"/>
        </w:rPr>
        <w:t>Mark Ashworth at KCL</w:t>
      </w:r>
      <w:r w:rsidR="00E36D87">
        <w:rPr>
          <w:rFonts w:ascii="HelveticaNeueLT Std" w:eastAsia="Helvetica Neue Thin" w:hAnsi="HelveticaNeueLT Std" w:cs="Helvetica Neue Thin"/>
        </w:rPr>
        <w:t>, which is examining</w:t>
      </w:r>
      <w:r w:rsidR="00377E9F">
        <w:rPr>
          <w:rFonts w:ascii="HelveticaNeueLT Std" w:eastAsia="Helvetica Neue Thin" w:hAnsi="HelveticaNeueLT Std" w:cs="Helvetica Neue Thin"/>
        </w:rPr>
        <w:t xml:space="preserve"> the prevalence</w:t>
      </w:r>
      <w:r w:rsidR="006C3F45">
        <w:rPr>
          <w:rFonts w:ascii="HelveticaNeueLT Std" w:eastAsia="Helvetica Neue Thin" w:hAnsi="HelveticaNeueLT Std" w:cs="Helvetica Neue Thin"/>
        </w:rPr>
        <w:t xml:space="preserve"> and pattern</w:t>
      </w:r>
      <w:r w:rsidR="00377E9F">
        <w:rPr>
          <w:rFonts w:ascii="HelveticaNeueLT Std" w:eastAsia="Helvetica Neue Thin" w:hAnsi="HelveticaNeueLT Std" w:cs="Helvetica Neue Thin"/>
        </w:rPr>
        <w:t xml:space="preserve"> of </w:t>
      </w:r>
      <w:r w:rsidR="004247DE">
        <w:rPr>
          <w:rFonts w:ascii="HelveticaNeueLT Std" w:eastAsia="Helvetica Neue Thin" w:hAnsi="HelveticaNeueLT Std" w:cs="Helvetica Neue Thin"/>
        </w:rPr>
        <w:t>long-term</w:t>
      </w:r>
      <w:r w:rsidR="00377E9F">
        <w:rPr>
          <w:rFonts w:ascii="HelveticaNeueLT Std" w:eastAsia="Helvetica Neue Thin" w:hAnsi="HelveticaNeueLT Std" w:cs="Helvetica Neue Thin"/>
        </w:rPr>
        <w:t xml:space="preserve"> conditions</w:t>
      </w:r>
      <w:r w:rsidR="006C3F45">
        <w:rPr>
          <w:rFonts w:ascii="HelveticaNeueLT Std" w:eastAsia="Helvetica Neue Thin" w:hAnsi="HelveticaNeueLT Std" w:cs="Helvetica Neue Thin"/>
        </w:rPr>
        <w:t xml:space="preserve"> amongst people registered </w:t>
      </w:r>
      <w:r w:rsidR="00377E9F">
        <w:rPr>
          <w:rFonts w:ascii="HelveticaNeueLT Std" w:eastAsia="Helvetica Neue Thin" w:hAnsi="HelveticaNeueLT Std" w:cs="Helvetica Neue Thin"/>
        </w:rPr>
        <w:t>in</w:t>
      </w:r>
      <w:r w:rsidR="006C3F45">
        <w:rPr>
          <w:rFonts w:ascii="HelveticaNeueLT Std" w:eastAsia="Helvetica Neue Thin" w:hAnsi="HelveticaNeueLT Std" w:cs="Helvetica Neue Thin"/>
        </w:rPr>
        <w:t xml:space="preserve"> </w:t>
      </w:r>
      <w:r w:rsidR="00C55CBC">
        <w:rPr>
          <w:rFonts w:ascii="HelveticaNeueLT Std" w:eastAsia="Helvetica Neue Thin" w:hAnsi="HelveticaNeueLT Std" w:cs="Helvetica Neue Thin"/>
        </w:rPr>
        <w:t xml:space="preserve">primary care data </w:t>
      </w:r>
      <w:r w:rsidR="00377E9F">
        <w:rPr>
          <w:rFonts w:ascii="HelveticaNeueLT Std" w:eastAsia="Helvetica Neue Thin" w:hAnsi="HelveticaNeueLT Std" w:cs="Helvetica Neue Thin"/>
        </w:rPr>
        <w:t xml:space="preserve">over a </w:t>
      </w:r>
      <w:r w:rsidR="002C7285">
        <w:rPr>
          <w:rFonts w:ascii="HelveticaNeueLT Std" w:eastAsia="Helvetica Neue Thin" w:hAnsi="HelveticaNeueLT Std" w:cs="Helvetica Neue Thin"/>
        </w:rPr>
        <w:t>10-year</w:t>
      </w:r>
      <w:r w:rsidR="00377E9F">
        <w:rPr>
          <w:rFonts w:ascii="HelveticaNeueLT Std" w:eastAsia="Helvetica Neue Thin" w:hAnsi="HelveticaNeueLT Std" w:cs="Helvetica Neue Thin"/>
        </w:rPr>
        <w:t xml:space="preserve"> period</w:t>
      </w:r>
      <w:r w:rsidR="00DB6C02">
        <w:rPr>
          <w:rFonts w:ascii="HelveticaNeueLT Std" w:eastAsia="Helvetica Neue Thin" w:hAnsi="HelveticaNeueLT Std" w:cs="Helvetica Neue Thin"/>
        </w:rPr>
        <w:t>.</w:t>
      </w:r>
    </w:p>
    <w:p w14:paraId="72A04103" w14:textId="7AFF3F76" w:rsidR="00FA45EC" w:rsidRDefault="00B94BC9" w:rsidP="00C66EC9">
      <w:pPr>
        <w:spacing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t>T</w:t>
      </w:r>
      <w:r w:rsidR="00E42D34">
        <w:rPr>
          <w:rFonts w:ascii="HelveticaNeueLT Std" w:eastAsia="Helvetica Neue Thin" w:hAnsi="HelveticaNeueLT Std" w:cs="Helvetica Neue Thin"/>
        </w:rPr>
        <w:t>his study</w:t>
      </w:r>
      <w:r w:rsidR="00FB5433">
        <w:rPr>
          <w:rFonts w:ascii="HelveticaNeueLT Std" w:eastAsia="Helvetica Neue Thin" w:hAnsi="HelveticaNeueLT Std" w:cs="Helvetica Neue Thin"/>
        </w:rPr>
        <w:t xml:space="preserve"> will greatly help us to understand the </w:t>
      </w:r>
      <w:r w:rsidR="00023DCC">
        <w:rPr>
          <w:rFonts w:ascii="HelveticaNeueLT Std" w:eastAsia="Helvetica Neue Thin" w:hAnsi="HelveticaNeueLT Std" w:cs="Helvetica Neue Thin"/>
        </w:rPr>
        <w:t>‘</w:t>
      </w:r>
      <w:r w:rsidR="00FB5433">
        <w:rPr>
          <w:rFonts w:ascii="HelveticaNeueLT Std" w:eastAsia="Helvetica Neue Thin" w:hAnsi="HelveticaNeueLT Std" w:cs="Helvetica Neue Thin"/>
        </w:rPr>
        <w:t>what</w:t>
      </w:r>
      <w:r w:rsidR="00FA45EC">
        <w:rPr>
          <w:rFonts w:ascii="HelveticaNeueLT Std" w:eastAsia="Helvetica Neue Thin" w:hAnsi="HelveticaNeueLT Std" w:cs="Helvetica Neue Thin"/>
        </w:rPr>
        <w:t>’</w:t>
      </w:r>
      <w:r w:rsidR="00157154">
        <w:rPr>
          <w:rFonts w:ascii="HelveticaNeueLT Std" w:eastAsia="Helvetica Neue Thin" w:hAnsi="HelveticaNeueLT Std" w:cs="Helvetica Neue Thin"/>
        </w:rPr>
        <w:t xml:space="preserve">, and </w:t>
      </w:r>
      <w:r>
        <w:rPr>
          <w:rFonts w:ascii="HelveticaNeueLT Std" w:eastAsia="Helvetica Neue Thin" w:hAnsi="HelveticaNeueLT Std" w:cs="Helvetica Neue Thin"/>
        </w:rPr>
        <w:t>to an extent</w:t>
      </w:r>
      <w:r w:rsidR="00943323">
        <w:rPr>
          <w:rFonts w:ascii="HelveticaNeueLT Std" w:eastAsia="Helvetica Neue Thin" w:hAnsi="HelveticaNeueLT Std" w:cs="Helvetica Neue Thin"/>
        </w:rPr>
        <w:t>,</w:t>
      </w:r>
      <w:r>
        <w:rPr>
          <w:rFonts w:ascii="HelveticaNeueLT Std" w:eastAsia="Helvetica Neue Thin" w:hAnsi="HelveticaNeueLT Std" w:cs="Helvetica Neue Thin"/>
        </w:rPr>
        <w:t xml:space="preserve"> the ‘when’ and ‘who’</w:t>
      </w:r>
      <w:r w:rsidR="00FA45EC">
        <w:rPr>
          <w:rFonts w:ascii="HelveticaNeueLT Std" w:eastAsia="Helvetica Neue Thin" w:hAnsi="HelveticaNeueLT Std" w:cs="Helvetica Neue Thin"/>
        </w:rPr>
        <w:t xml:space="preserve"> in terms of the picture of multimorbidity in</w:t>
      </w:r>
      <w:r w:rsidR="00BA55D6">
        <w:rPr>
          <w:rFonts w:ascii="HelveticaNeueLT Std" w:eastAsia="Helvetica Neue Thin" w:hAnsi="HelveticaNeueLT Std" w:cs="Helvetica Neue Thin"/>
        </w:rPr>
        <w:t xml:space="preserve"> Lambeth and Southwark</w:t>
      </w:r>
      <w:r>
        <w:rPr>
          <w:rFonts w:ascii="HelveticaNeueLT Std" w:eastAsia="Helvetica Neue Thin" w:hAnsi="HelveticaNeueLT Std" w:cs="Helvetica Neue Thin"/>
        </w:rPr>
        <w:t>. However,</w:t>
      </w:r>
      <w:r w:rsidR="00BA55D6">
        <w:rPr>
          <w:rFonts w:ascii="HelveticaNeueLT Std" w:eastAsia="Helvetica Neue Thin" w:hAnsi="HelveticaNeueLT Std" w:cs="Helvetica Neue Thin"/>
        </w:rPr>
        <w:t xml:space="preserve"> it will be limited in </w:t>
      </w:r>
      <w:r w:rsidR="00D26C18">
        <w:rPr>
          <w:rFonts w:ascii="HelveticaNeueLT Std" w:eastAsia="Helvetica Neue Thin" w:hAnsi="HelveticaNeueLT Std" w:cs="Helvetica Neue Thin"/>
        </w:rPr>
        <w:t>developing</w:t>
      </w:r>
      <w:r w:rsidR="00314B1B">
        <w:rPr>
          <w:rFonts w:ascii="HelveticaNeueLT Std" w:eastAsia="Helvetica Neue Thin" w:hAnsi="HelveticaNeueLT Std" w:cs="Helvetica Neue Thin"/>
        </w:rPr>
        <w:t xml:space="preserve"> a deep </w:t>
      </w:r>
      <w:r w:rsidR="00BA55D6">
        <w:rPr>
          <w:rFonts w:ascii="HelveticaNeueLT Std" w:eastAsia="Helvetica Neue Thin" w:hAnsi="HelveticaNeueLT Std" w:cs="Helvetica Neue Thin"/>
        </w:rPr>
        <w:t>understand</w:t>
      </w:r>
      <w:r w:rsidR="00314B1B">
        <w:rPr>
          <w:rFonts w:ascii="HelveticaNeueLT Std" w:eastAsia="Helvetica Neue Thin" w:hAnsi="HelveticaNeueLT Std" w:cs="Helvetica Neue Thin"/>
        </w:rPr>
        <w:t>ing of</w:t>
      </w:r>
      <w:r w:rsidR="00BA55D6">
        <w:rPr>
          <w:rFonts w:ascii="HelveticaNeueLT Std" w:eastAsia="Helvetica Neue Thin" w:hAnsi="HelveticaNeueLT Std" w:cs="Helvetica Neue Thin"/>
        </w:rPr>
        <w:t xml:space="preserve"> the </w:t>
      </w:r>
      <w:r w:rsidR="00E97AA6">
        <w:rPr>
          <w:rFonts w:ascii="HelveticaNeueLT Std" w:eastAsia="Helvetica Neue Thin" w:hAnsi="HelveticaNeueLT Std" w:cs="Helvetica Neue Thin"/>
        </w:rPr>
        <w:t>very important questions of ‘how’</w:t>
      </w:r>
      <w:r w:rsidR="00A95C8F">
        <w:rPr>
          <w:rFonts w:ascii="HelveticaNeueLT Std" w:eastAsia="Helvetica Neue Thin" w:hAnsi="HelveticaNeueLT Std" w:cs="Helvetica Neue Thin"/>
        </w:rPr>
        <w:t xml:space="preserve"> and ‘why’</w:t>
      </w:r>
      <w:r w:rsidR="00B66F29">
        <w:rPr>
          <w:rFonts w:ascii="HelveticaNeueLT Std" w:eastAsia="Helvetica Neue Thin" w:hAnsi="HelveticaNeueLT Std" w:cs="Helvetica Neue Thin"/>
        </w:rPr>
        <w:t xml:space="preserve"> people progress</w:t>
      </w:r>
      <w:r w:rsidR="009A2149">
        <w:rPr>
          <w:rFonts w:ascii="HelveticaNeueLT Std" w:eastAsia="Helvetica Neue Thin" w:hAnsi="HelveticaNeueLT Std" w:cs="Helvetica Neue Thin"/>
        </w:rPr>
        <w:t xml:space="preserve"> to multimorbidit</w:t>
      </w:r>
      <w:r w:rsidR="00F01E54">
        <w:rPr>
          <w:rFonts w:ascii="HelveticaNeueLT Std" w:eastAsia="Helvetica Neue Thin" w:hAnsi="HelveticaNeueLT Std" w:cs="Helvetica Neue Thin"/>
        </w:rPr>
        <w:t>y</w:t>
      </w:r>
      <w:r w:rsidR="004F190E">
        <w:rPr>
          <w:rFonts w:ascii="HelveticaNeueLT Std" w:eastAsia="Helvetica Neue Thin" w:hAnsi="HelveticaNeueLT Std" w:cs="Helvetica Neue Thin"/>
        </w:rPr>
        <w:t>.</w:t>
      </w:r>
      <w:r w:rsidR="00BA55D6">
        <w:rPr>
          <w:rFonts w:ascii="HelveticaNeueLT Std" w:eastAsia="Helvetica Neue Thin" w:hAnsi="HelveticaNeueLT Std" w:cs="Helvetica Neue Thin"/>
        </w:rPr>
        <w:t xml:space="preserve"> </w:t>
      </w:r>
    </w:p>
    <w:p w14:paraId="27F8ED9A" w14:textId="7D3F9736" w:rsidR="009F68D6" w:rsidRDefault="00857C33" w:rsidP="00146E42">
      <w:pPr>
        <w:spacing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t>B</w:t>
      </w:r>
      <w:r w:rsidR="00AF5D93">
        <w:rPr>
          <w:rFonts w:ascii="HelveticaNeueLT Std" w:eastAsia="Helvetica Neue Thin" w:hAnsi="HelveticaNeueLT Std" w:cs="Helvetica Neue Thin"/>
        </w:rPr>
        <w:t xml:space="preserve">elow is Dahlgren and Whitehead’s model of </w:t>
      </w:r>
      <w:r w:rsidR="00FF4866">
        <w:rPr>
          <w:rFonts w:ascii="HelveticaNeueLT Std" w:eastAsia="Helvetica Neue Thin" w:hAnsi="HelveticaNeueLT Std" w:cs="Helvetica Neue Thin"/>
        </w:rPr>
        <w:t>the main determinants of health</w:t>
      </w:r>
      <w:r w:rsidR="00AE7E06">
        <w:rPr>
          <w:rStyle w:val="FootnoteReference"/>
          <w:rFonts w:ascii="HelveticaNeueLT Std" w:eastAsia="Helvetica Neue Thin" w:hAnsi="HelveticaNeueLT Std" w:cs="Helvetica Neue Thin"/>
        </w:rPr>
        <w:footnoteReference w:id="4"/>
      </w:r>
      <w:r w:rsidR="00754FF9">
        <w:rPr>
          <w:rFonts w:ascii="HelveticaNeueLT Std" w:eastAsia="Helvetica Neue Thin" w:hAnsi="HelveticaNeueLT Std" w:cs="Helvetica Neue Thin"/>
        </w:rPr>
        <w:t>.</w:t>
      </w:r>
      <w:r w:rsidR="00B924DC">
        <w:rPr>
          <w:rFonts w:ascii="HelveticaNeueLT Std" w:eastAsia="Helvetica Neue Thin" w:hAnsi="HelveticaNeueLT Std" w:cs="Helvetica Neue Thin"/>
        </w:rPr>
        <w:t xml:space="preserve"> There are gaps in the evidence base in terms of all of these</w:t>
      </w:r>
      <w:r w:rsidR="006647AD">
        <w:rPr>
          <w:rFonts w:ascii="HelveticaNeueLT Std" w:eastAsia="Helvetica Neue Thin" w:hAnsi="HelveticaNeueLT Std" w:cs="Helvetica Neue Thin"/>
        </w:rPr>
        <w:t xml:space="preserve"> contributing</w:t>
      </w:r>
      <w:r w:rsidR="00B924DC">
        <w:rPr>
          <w:rFonts w:ascii="HelveticaNeueLT Std" w:eastAsia="Helvetica Neue Thin" w:hAnsi="HelveticaNeueLT Std" w:cs="Helvetica Neue Thin"/>
        </w:rPr>
        <w:t xml:space="preserve"> factors, however </w:t>
      </w:r>
      <w:r w:rsidR="00596D2C">
        <w:rPr>
          <w:rFonts w:ascii="HelveticaNeueLT Std" w:eastAsia="Helvetica Neue Thin" w:hAnsi="HelveticaNeueLT Std" w:cs="Helvetica Neue Thin"/>
        </w:rPr>
        <w:t xml:space="preserve">in terms of the Charity’s role and position in the system, it believes it </w:t>
      </w:r>
      <w:r w:rsidR="00352EDB">
        <w:rPr>
          <w:rFonts w:ascii="HelveticaNeueLT Std" w:eastAsia="Helvetica Neue Thin" w:hAnsi="HelveticaNeueLT Std" w:cs="Helvetica Neue Thin"/>
        </w:rPr>
        <w:t>can add the most value</w:t>
      </w:r>
      <w:r w:rsidR="009F68D6">
        <w:rPr>
          <w:rFonts w:ascii="HelveticaNeueLT Std" w:eastAsia="Helvetica Neue Thin" w:hAnsi="HelveticaNeueLT Std" w:cs="Helvetica Neue Thin"/>
        </w:rPr>
        <w:t>,</w:t>
      </w:r>
      <w:r w:rsidR="00352EDB">
        <w:rPr>
          <w:rFonts w:ascii="HelveticaNeueLT Std" w:eastAsia="Helvetica Neue Thin" w:hAnsi="HelveticaNeueLT Std" w:cs="Helvetica Neue Thin"/>
        </w:rPr>
        <w:t xml:space="preserve"> and will be most likely to influence</w:t>
      </w:r>
      <w:r w:rsidR="009F68D6">
        <w:rPr>
          <w:rFonts w:ascii="HelveticaNeueLT Std" w:eastAsia="Helvetica Neue Thin" w:hAnsi="HelveticaNeueLT Std" w:cs="Helvetica Neue Thin"/>
        </w:rPr>
        <w:t>,</w:t>
      </w:r>
      <w:r w:rsidR="00352EDB">
        <w:rPr>
          <w:rFonts w:ascii="HelveticaNeueLT Std" w:eastAsia="Helvetica Neue Thin" w:hAnsi="HelveticaNeueLT Std" w:cs="Helvetica Neue Thin"/>
        </w:rPr>
        <w:t xml:space="preserve"> factors in </w:t>
      </w:r>
      <w:r w:rsidR="00187422">
        <w:rPr>
          <w:rFonts w:ascii="HelveticaNeueLT Std" w:eastAsia="Helvetica Neue Thin" w:hAnsi="HelveticaNeueLT Std" w:cs="Helvetica Neue Thin"/>
        </w:rPr>
        <w:t>the outer</w:t>
      </w:r>
      <w:r w:rsidR="00A44731">
        <w:rPr>
          <w:rFonts w:ascii="HelveticaNeueLT Std" w:eastAsia="Helvetica Neue Thin" w:hAnsi="HelveticaNeueLT Std" w:cs="Helvetica Neue Thin"/>
        </w:rPr>
        <w:t xml:space="preserve"> two bands of this model</w:t>
      </w:r>
      <w:r w:rsidR="00D35009">
        <w:rPr>
          <w:rFonts w:ascii="HelveticaNeueLT Std" w:eastAsia="Helvetica Neue Thin" w:hAnsi="HelveticaNeueLT Std" w:cs="Helvetica Neue Thin"/>
        </w:rPr>
        <w:t xml:space="preserve">; </w:t>
      </w:r>
    </w:p>
    <w:p w14:paraId="48BA1FBA" w14:textId="1C59367F" w:rsidR="009F68D6" w:rsidRDefault="00DB12A2" w:rsidP="00146E42">
      <w:pPr>
        <w:spacing w:line="276" w:lineRule="auto"/>
        <w:rPr>
          <w:rFonts w:ascii="HelveticaNeueLT Std" w:eastAsia="Helvetica Neue Thin" w:hAnsi="HelveticaNeueLT Std" w:cs="Helvetica Neue Thin"/>
        </w:rPr>
      </w:pPr>
      <w:r w:rsidRPr="002C7285">
        <w:rPr>
          <w:rFonts w:ascii="HelveticaNeueLT Std" w:eastAsia="Helvetica Neue Thin" w:hAnsi="HelveticaNeueLT Std" w:cs="Helvetica Neue Thin"/>
        </w:rPr>
        <w:t>1.</w:t>
      </w:r>
      <w:r>
        <w:rPr>
          <w:rFonts w:ascii="HelveticaNeueLT Std" w:eastAsia="Helvetica Neue Thin" w:hAnsi="HelveticaNeueLT Std" w:cs="Helvetica Neue Thin"/>
        </w:rPr>
        <w:t xml:space="preserve"> Living and working conditions</w:t>
      </w:r>
      <w:r w:rsidR="002C7285">
        <w:rPr>
          <w:rFonts w:ascii="HelveticaNeueLT Std" w:eastAsia="Helvetica Neue Thin" w:hAnsi="HelveticaNeueLT Std" w:cs="Helvetica Neue Thin"/>
        </w:rPr>
        <w:t>,</w:t>
      </w:r>
      <w:r>
        <w:rPr>
          <w:rFonts w:ascii="HelveticaNeueLT Std" w:eastAsia="Helvetica Neue Thin" w:hAnsi="HelveticaNeueLT Std" w:cs="Helvetica Neue Thin"/>
        </w:rPr>
        <w:t xml:space="preserve"> and </w:t>
      </w:r>
    </w:p>
    <w:p w14:paraId="2782E3E8" w14:textId="77777777" w:rsidR="009F68D6" w:rsidRDefault="00DB12A2" w:rsidP="00146E42">
      <w:pPr>
        <w:spacing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t>2. G</w:t>
      </w:r>
      <w:r w:rsidR="00F0648A">
        <w:rPr>
          <w:rFonts w:ascii="HelveticaNeueLT Std" w:eastAsia="Helvetica Neue Thin" w:hAnsi="HelveticaNeueLT Std" w:cs="Helvetica Neue Thin"/>
        </w:rPr>
        <w:t>eneral socio-economic, cultural and environmental conditions</w:t>
      </w:r>
      <w:r>
        <w:rPr>
          <w:rFonts w:ascii="HelveticaNeueLT Std" w:eastAsia="Helvetica Neue Thin" w:hAnsi="HelveticaNeueLT Std" w:cs="Helvetica Neue Thin"/>
        </w:rPr>
        <w:t>.</w:t>
      </w:r>
      <w:r w:rsidR="00F71C14">
        <w:rPr>
          <w:rFonts w:ascii="HelveticaNeueLT Std" w:eastAsia="Helvetica Neue Thin" w:hAnsi="HelveticaNeueLT Std" w:cs="Helvetica Neue Thin"/>
        </w:rPr>
        <w:t xml:space="preserve"> </w:t>
      </w:r>
    </w:p>
    <w:p w14:paraId="1C14B3B2" w14:textId="1EE530F5" w:rsidR="00AF5D93" w:rsidRDefault="00AD27A8" w:rsidP="00146E42">
      <w:pPr>
        <w:spacing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lastRenderedPageBreak/>
        <w:t xml:space="preserve">Research which helps to </w:t>
      </w:r>
      <w:r w:rsidR="00E92A77">
        <w:rPr>
          <w:rFonts w:ascii="HelveticaNeueLT Std" w:eastAsia="Helvetica Neue Thin" w:hAnsi="HelveticaNeueLT Std" w:cs="Helvetica Neue Thin"/>
        </w:rPr>
        <w:t xml:space="preserve">develop a deeper </w:t>
      </w:r>
      <w:r w:rsidR="00D01445">
        <w:rPr>
          <w:rFonts w:ascii="HelveticaNeueLT Std" w:eastAsia="Helvetica Neue Thin" w:hAnsi="HelveticaNeueLT Std" w:cs="Helvetica Neue Thin"/>
        </w:rPr>
        <w:t>understand</w:t>
      </w:r>
      <w:r w:rsidR="00E92A77">
        <w:rPr>
          <w:rFonts w:ascii="HelveticaNeueLT Std" w:eastAsia="Helvetica Neue Thin" w:hAnsi="HelveticaNeueLT Std" w:cs="Helvetica Neue Thin"/>
        </w:rPr>
        <w:t>ing</w:t>
      </w:r>
      <w:r w:rsidR="009F68D6">
        <w:rPr>
          <w:rFonts w:ascii="HelveticaNeueLT Std" w:eastAsia="Helvetica Neue Thin" w:hAnsi="HelveticaNeueLT Std" w:cs="Helvetica Neue Thin"/>
        </w:rPr>
        <w:t xml:space="preserve"> of</w:t>
      </w:r>
      <w:r w:rsidR="00D01445">
        <w:rPr>
          <w:rFonts w:ascii="HelveticaNeueLT Std" w:eastAsia="Helvetica Neue Thin" w:hAnsi="HelveticaNeueLT Std" w:cs="Helvetica Neue Thin"/>
        </w:rPr>
        <w:t xml:space="preserve"> the influence </w:t>
      </w:r>
      <w:r w:rsidR="005E1790">
        <w:rPr>
          <w:rFonts w:ascii="HelveticaNeueLT Std" w:eastAsia="Helvetica Neue Thin" w:hAnsi="HelveticaNeueLT Std" w:cs="Helvetica Neue Thin"/>
        </w:rPr>
        <w:t xml:space="preserve">and experience </w:t>
      </w:r>
      <w:r w:rsidR="00D01445">
        <w:rPr>
          <w:rFonts w:ascii="HelveticaNeueLT Std" w:eastAsia="Helvetica Neue Thin" w:hAnsi="HelveticaNeueLT Std" w:cs="Helvetica Neue Thin"/>
        </w:rPr>
        <w:t xml:space="preserve">of these </w:t>
      </w:r>
      <w:r w:rsidR="005E1790">
        <w:rPr>
          <w:rFonts w:ascii="HelveticaNeueLT Std" w:eastAsia="Helvetica Neue Thin" w:hAnsi="HelveticaNeueLT Std" w:cs="Helvetica Neue Thin"/>
        </w:rPr>
        <w:t xml:space="preserve">factors would </w:t>
      </w:r>
      <w:r w:rsidR="00954F17">
        <w:rPr>
          <w:rFonts w:ascii="HelveticaNeueLT Std" w:eastAsia="Helvetica Neue Thin" w:hAnsi="HelveticaNeueLT Std" w:cs="Helvetica Neue Thin"/>
        </w:rPr>
        <w:t>be particularly helpful</w:t>
      </w:r>
      <w:r w:rsidR="00F6118B">
        <w:rPr>
          <w:rFonts w:ascii="HelveticaNeueLT Std" w:eastAsia="Helvetica Neue Thin" w:hAnsi="HelveticaNeueLT Std" w:cs="Helvetica Neue Thin"/>
        </w:rPr>
        <w:t xml:space="preserve"> (see further detail below</w:t>
      </w:r>
      <w:r w:rsidR="00E92A77">
        <w:rPr>
          <w:rFonts w:ascii="HelveticaNeueLT Std" w:eastAsia="Helvetica Neue Thin" w:hAnsi="HelveticaNeueLT Std" w:cs="Helvetica Neue Thin"/>
        </w:rPr>
        <w:t xml:space="preserve"> in </w:t>
      </w:r>
      <w:r w:rsidR="002C7285">
        <w:rPr>
          <w:rFonts w:ascii="HelveticaNeueLT Std" w:eastAsia="Helvetica Neue Thin" w:hAnsi="HelveticaNeueLT Std" w:cs="Helvetica Neue Thin"/>
        </w:rPr>
        <w:t>‘</w:t>
      </w:r>
      <w:r w:rsidR="00E92A77">
        <w:rPr>
          <w:rFonts w:ascii="HelveticaNeueLT Std" w:eastAsia="Helvetica Neue Thin" w:hAnsi="HelveticaNeueLT Std" w:cs="Helvetica Neue Thin"/>
        </w:rPr>
        <w:t>Scope</w:t>
      </w:r>
      <w:r w:rsidR="002C7285">
        <w:rPr>
          <w:rFonts w:ascii="HelveticaNeueLT Std" w:eastAsia="Helvetica Neue Thin" w:hAnsi="HelveticaNeueLT Std" w:cs="Helvetica Neue Thin"/>
        </w:rPr>
        <w:t>’</w:t>
      </w:r>
      <w:r w:rsidR="00F6118B">
        <w:rPr>
          <w:rFonts w:ascii="HelveticaNeueLT Std" w:eastAsia="Helvetica Neue Thin" w:hAnsi="HelveticaNeueLT Std" w:cs="Helvetica Neue Thin"/>
        </w:rPr>
        <w:t>)</w:t>
      </w:r>
      <w:r w:rsidR="00954F17">
        <w:rPr>
          <w:rFonts w:ascii="HelveticaNeueLT Std" w:eastAsia="Helvetica Neue Thin" w:hAnsi="HelveticaNeueLT Std" w:cs="Helvetica Neue Thin"/>
        </w:rPr>
        <w:t>.</w:t>
      </w:r>
    </w:p>
    <w:p w14:paraId="336931D8" w14:textId="7A9FABD8" w:rsidR="00AF5D93" w:rsidRDefault="00AF5D93" w:rsidP="00FF4866">
      <w:pPr>
        <w:spacing w:line="276" w:lineRule="auto"/>
        <w:jc w:val="center"/>
        <w:rPr>
          <w:rFonts w:ascii="HelveticaNeueLT Std" w:eastAsia="Helvetica Neue Thin" w:hAnsi="HelveticaNeueLT Std" w:cs="Helvetica Neue Thin"/>
        </w:rPr>
      </w:pPr>
      <w:r>
        <w:rPr>
          <w:noProof/>
        </w:rPr>
        <w:drawing>
          <wp:inline distT="0" distB="0" distL="0" distR="0" wp14:anchorId="29766B33" wp14:editId="68A15E65">
            <wp:extent cx="4162966" cy="2828925"/>
            <wp:effectExtent l="0" t="0" r="9525" b="0"/>
            <wp:docPr id="2" name="Picture 2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170" cy="285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BA1A9" w14:textId="77777777" w:rsidR="00846C34" w:rsidRDefault="002109F4" w:rsidP="00DB4F0D">
      <w:pPr>
        <w:spacing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t>As noted, the KCL research project will give u</w:t>
      </w:r>
      <w:r w:rsidR="00544BF2">
        <w:rPr>
          <w:rFonts w:ascii="HelveticaNeueLT Std" w:eastAsia="Helvetica Neue Thin" w:hAnsi="HelveticaNeueLT Std" w:cs="Helvetica Neue Thin"/>
        </w:rPr>
        <w:t xml:space="preserve">s much more understanding of what </w:t>
      </w:r>
      <w:r w:rsidR="00263822">
        <w:rPr>
          <w:rFonts w:ascii="HelveticaNeueLT Std" w:eastAsia="Helvetica Neue Thin" w:hAnsi="HelveticaNeueLT Std" w:cs="Helvetica Neue Thin"/>
        </w:rPr>
        <w:t xml:space="preserve">multimorbidity people experience in Lambeth and Southwark, as well as who experiences this (what groups of people) and </w:t>
      </w:r>
      <w:r w:rsidR="00EE726A">
        <w:rPr>
          <w:rFonts w:ascii="HelveticaNeueLT Std" w:eastAsia="Helvetica Neue Thin" w:hAnsi="HelveticaNeueLT Std" w:cs="Helvetica Neue Thin"/>
        </w:rPr>
        <w:t xml:space="preserve">the timings of when they progress. Saying that, the study </w:t>
      </w:r>
      <w:r w:rsidR="00E92A77">
        <w:rPr>
          <w:rFonts w:ascii="HelveticaNeueLT Std" w:eastAsia="Helvetica Neue Thin" w:hAnsi="HelveticaNeueLT Std" w:cs="Helvetica Neue Thin"/>
        </w:rPr>
        <w:t xml:space="preserve">(and other studies like it in the evidence base) </w:t>
      </w:r>
      <w:r w:rsidR="00EE726A">
        <w:rPr>
          <w:rFonts w:ascii="HelveticaNeueLT Std" w:eastAsia="Helvetica Neue Thin" w:hAnsi="HelveticaNeueLT Std" w:cs="Helvetica Neue Thin"/>
        </w:rPr>
        <w:t xml:space="preserve">has limitations in that it is </w:t>
      </w:r>
      <w:r>
        <w:rPr>
          <w:rFonts w:ascii="HelveticaNeueLT Std" w:eastAsia="Helvetica Neue Thin" w:hAnsi="HelveticaNeueLT Std" w:cs="Helvetica Neue Thin"/>
        </w:rPr>
        <w:t>a s</w:t>
      </w:r>
      <w:r w:rsidR="00DB4F0D" w:rsidRPr="00EF20C3">
        <w:rPr>
          <w:rFonts w:ascii="HelveticaNeueLT Std" w:eastAsia="Helvetica Neue Thin" w:hAnsi="HelveticaNeueLT Std" w:cs="Helvetica Neue Thin"/>
        </w:rPr>
        <w:t xml:space="preserve">econdary analysis </w:t>
      </w:r>
      <w:r>
        <w:rPr>
          <w:rFonts w:ascii="HelveticaNeueLT Std" w:eastAsia="Helvetica Neue Thin" w:hAnsi="HelveticaNeueLT Std" w:cs="Helvetica Neue Thin"/>
        </w:rPr>
        <w:t xml:space="preserve">of </w:t>
      </w:r>
      <w:r w:rsidR="00DB4F0D" w:rsidRPr="00EF20C3">
        <w:rPr>
          <w:rFonts w:ascii="HelveticaNeueLT Std" w:eastAsia="Helvetica Neue Thin" w:hAnsi="HelveticaNeueLT Std" w:cs="Helvetica Neue Thin"/>
        </w:rPr>
        <w:t xml:space="preserve">primary </w:t>
      </w:r>
      <w:r w:rsidR="00DB4F0D">
        <w:rPr>
          <w:rFonts w:ascii="HelveticaNeueLT Std" w:eastAsia="Helvetica Neue Thin" w:hAnsi="HelveticaNeueLT Std" w:cs="Helvetica Neue Thin"/>
        </w:rPr>
        <w:t xml:space="preserve">care </w:t>
      </w:r>
      <w:r w:rsidR="00DB4F0D" w:rsidRPr="00EF20C3">
        <w:rPr>
          <w:rFonts w:ascii="HelveticaNeueLT Std" w:eastAsia="Helvetica Neue Thin" w:hAnsi="HelveticaNeueLT Std" w:cs="Helvetica Neue Thin"/>
        </w:rPr>
        <w:t>data</w:t>
      </w:r>
      <w:r>
        <w:rPr>
          <w:rFonts w:ascii="HelveticaNeueLT Std" w:eastAsia="Helvetica Neue Thin" w:hAnsi="HelveticaNeueLT Std" w:cs="Helvetica Neue Thin"/>
        </w:rPr>
        <w:t xml:space="preserve">, </w:t>
      </w:r>
      <w:r w:rsidR="00EE726A">
        <w:rPr>
          <w:rFonts w:ascii="HelveticaNeueLT Std" w:eastAsia="Helvetica Neue Thin" w:hAnsi="HelveticaNeueLT Std" w:cs="Helvetica Neue Thin"/>
        </w:rPr>
        <w:t>so therefore</w:t>
      </w:r>
      <w:r w:rsidR="00DB4F0D">
        <w:rPr>
          <w:rFonts w:ascii="HelveticaNeueLT Std" w:eastAsia="Helvetica Neue Thin" w:hAnsi="HelveticaNeueLT Std" w:cs="Helvetica Neue Thin"/>
        </w:rPr>
        <w:t xml:space="preserve"> reliant on </w:t>
      </w:r>
      <w:r w:rsidR="00EE726A">
        <w:rPr>
          <w:rFonts w:ascii="HelveticaNeueLT Std" w:eastAsia="Helvetica Neue Thin" w:hAnsi="HelveticaNeueLT Std" w:cs="Helvetica Neue Thin"/>
        </w:rPr>
        <w:t xml:space="preserve">the </w:t>
      </w:r>
      <w:r w:rsidR="00DB4F0D">
        <w:rPr>
          <w:rFonts w:ascii="HelveticaNeueLT Std" w:eastAsia="Helvetica Neue Thin" w:hAnsi="HelveticaNeueLT Std" w:cs="Helvetica Neue Thin"/>
        </w:rPr>
        <w:t>quality</w:t>
      </w:r>
      <w:r w:rsidR="00C47263">
        <w:rPr>
          <w:rFonts w:ascii="HelveticaNeueLT Std" w:eastAsia="Helvetica Neue Thin" w:hAnsi="HelveticaNeueLT Std" w:cs="Helvetica Neue Thin"/>
        </w:rPr>
        <w:t xml:space="preserve"> and nature</w:t>
      </w:r>
      <w:r w:rsidR="00DB4F0D">
        <w:rPr>
          <w:rFonts w:ascii="HelveticaNeueLT Std" w:eastAsia="Helvetica Neue Thin" w:hAnsi="HelveticaNeueLT Std" w:cs="Helvetica Neue Thin"/>
        </w:rPr>
        <w:t xml:space="preserve"> of </w:t>
      </w:r>
      <w:r w:rsidR="00DB4F0D" w:rsidRPr="00EF20C3">
        <w:rPr>
          <w:rFonts w:ascii="HelveticaNeueLT Std" w:eastAsia="Helvetica Neue Thin" w:hAnsi="HelveticaNeueLT Std" w:cs="Helvetica Neue Thin"/>
        </w:rPr>
        <w:t>recording</w:t>
      </w:r>
      <w:r w:rsidR="00EE726A">
        <w:rPr>
          <w:rFonts w:ascii="HelveticaNeueLT Std" w:eastAsia="Helvetica Neue Thin" w:hAnsi="HelveticaNeueLT Std" w:cs="Helvetica Neue Thin"/>
        </w:rPr>
        <w:t>, as well as</w:t>
      </w:r>
      <w:r w:rsidR="00DB4F0D">
        <w:rPr>
          <w:rFonts w:ascii="HelveticaNeueLT Std" w:eastAsia="Helvetica Neue Thin" w:hAnsi="HelveticaNeueLT Std" w:cs="Helvetica Neue Thin"/>
        </w:rPr>
        <w:t xml:space="preserve"> people</w:t>
      </w:r>
      <w:r w:rsidR="00D44011">
        <w:rPr>
          <w:rFonts w:ascii="HelveticaNeueLT Std" w:eastAsia="Helvetica Neue Thin" w:hAnsi="HelveticaNeueLT Std" w:cs="Helvetica Neue Thin"/>
        </w:rPr>
        <w:t xml:space="preserve"> </w:t>
      </w:r>
      <w:r w:rsidR="00846C34">
        <w:rPr>
          <w:rFonts w:ascii="HelveticaNeueLT Std" w:eastAsia="Helvetica Neue Thin" w:hAnsi="HelveticaNeueLT Std" w:cs="Helvetica Neue Thin"/>
        </w:rPr>
        <w:t>being identified in</w:t>
      </w:r>
      <w:r w:rsidR="00D44011">
        <w:rPr>
          <w:rFonts w:ascii="HelveticaNeueLT Std" w:eastAsia="Helvetica Neue Thin" w:hAnsi="HelveticaNeueLT Std" w:cs="Helvetica Neue Thin"/>
        </w:rPr>
        <w:t xml:space="preserve"> primary care</w:t>
      </w:r>
      <w:r w:rsidR="00DB4F0D">
        <w:rPr>
          <w:rFonts w:ascii="HelveticaNeueLT Std" w:eastAsia="Helvetica Neue Thin" w:hAnsi="HelveticaNeueLT Std" w:cs="Helvetica Neue Thin"/>
        </w:rPr>
        <w:t xml:space="preserve">. </w:t>
      </w:r>
    </w:p>
    <w:p w14:paraId="55C872D9" w14:textId="018A5FC1" w:rsidR="00F47A89" w:rsidRDefault="00F810BE" w:rsidP="00DB4F0D">
      <w:pPr>
        <w:spacing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t>The Charity</w:t>
      </w:r>
      <w:r w:rsidR="008D0D92">
        <w:rPr>
          <w:rFonts w:ascii="HelveticaNeueLT Std" w:eastAsia="Helvetica Neue Thin" w:hAnsi="HelveticaNeueLT Std" w:cs="Helvetica Neue Thin"/>
        </w:rPr>
        <w:t>, along with other researchers</w:t>
      </w:r>
      <w:r w:rsidR="00E73A83">
        <w:rPr>
          <w:rFonts w:ascii="HelveticaNeueLT Std" w:eastAsia="Helvetica Neue Thin" w:hAnsi="HelveticaNeueLT Std" w:cs="Helvetica Neue Thin"/>
        </w:rPr>
        <w:t>,</w:t>
      </w:r>
      <w:r>
        <w:rPr>
          <w:rFonts w:ascii="HelveticaNeueLT Std" w:eastAsia="Helvetica Neue Thin" w:hAnsi="HelveticaNeueLT Std" w:cs="Helvetica Neue Thin"/>
        </w:rPr>
        <w:t xml:space="preserve"> </w:t>
      </w:r>
      <w:r w:rsidR="00E90949">
        <w:rPr>
          <w:rFonts w:ascii="HelveticaNeueLT Std" w:eastAsia="Helvetica Neue Thin" w:hAnsi="HelveticaNeueLT Std" w:cs="Helvetica Neue Thin"/>
        </w:rPr>
        <w:t xml:space="preserve">hypothesises </w:t>
      </w:r>
      <w:r w:rsidR="00807270">
        <w:rPr>
          <w:rFonts w:ascii="HelveticaNeueLT Std" w:eastAsia="Helvetica Neue Thin" w:hAnsi="HelveticaNeueLT Std" w:cs="Helvetica Neue Thin"/>
        </w:rPr>
        <w:t xml:space="preserve">that </w:t>
      </w:r>
      <w:r w:rsidR="003E149E">
        <w:rPr>
          <w:rFonts w:ascii="HelveticaNeueLT Std" w:eastAsia="Helvetica Neue Thin" w:hAnsi="HelveticaNeueLT Std" w:cs="Helvetica Neue Thin"/>
        </w:rPr>
        <w:t>some conditions are likely to be under</w:t>
      </w:r>
      <w:r w:rsidR="00382781">
        <w:rPr>
          <w:rFonts w:ascii="HelveticaNeueLT Std" w:eastAsia="Helvetica Neue Thin" w:hAnsi="HelveticaNeueLT Std" w:cs="Helvetica Neue Thin"/>
        </w:rPr>
        <w:t>-represented in primary care</w:t>
      </w:r>
      <w:r w:rsidR="00E73A83">
        <w:rPr>
          <w:rFonts w:ascii="HelveticaNeueLT Std" w:eastAsia="Helvetica Neue Thin" w:hAnsi="HelveticaNeueLT Std" w:cs="Helvetica Neue Thin"/>
        </w:rPr>
        <w:t>, thereby underestimating the true prevalence of multimorbid</w:t>
      </w:r>
      <w:r w:rsidR="001D6B05">
        <w:rPr>
          <w:rFonts w:ascii="HelveticaNeueLT Std" w:eastAsia="Helvetica Neue Thin" w:hAnsi="HelveticaNeueLT Std" w:cs="Helvetica Neue Thin"/>
        </w:rPr>
        <w:t>ity. There is opport</w:t>
      </w:r>
      <w:r w:rsidR="007E097A">
        <w:rPr>
          <w:rFonts w:ascii="HelveticaNeueLT Std" w:eastAsia="Helvetica Neue Thin" w:hAnsi="HelveticaNeueLT Std" w:cs="Helvetica Neue Thin"/>
        </w:rPr>
        <w:t xml:space="preserve">unity </w:t>
      </w:r>
      <w:r w:rsidR="00E90949">
        <w:rPr>
          <w:rFonts w:ascii="HelveticaNeueLT Std" w:eastAsia="Helvetica Neue Thin" w:hAnsi="HelveticaNeueLT Std" w:cs="Helvetica Neue Thin"/>
        </w:rPr>
        <w:t>for further</w:t>
      </w:r>
      <w:r w:rsidR="007E097A">
        <w:rPr>
          <w:rFonts w:ascii="HelveticaNeueLT Std" w:eastAsia="Helvetica Neue Thin" w:hAnsi="HelveticaNeueLT Std" w:cs="Helvetica Neue Thin"/>
        </w:rPr>
        <w:t xml:space="preserve"> research </w:t>
      </w:r>
      <w:r w:rsidR="00E90949">
        <w:rPr>
          <w:rFonts w:ascii="HelveticaNeueLT Std" w:eastAsia="Helvetica Neue Thin" w:hAnsi="HelveticaNeueLT Std" w:cs="Helvetica Neue Thin"/>
        </w:rPr>
        <w:t xml:space="preserve">to </w:t>
      </w:r>
      <w:r w:rsidR="00846969">
        <w:rPr>
          <w:rFonts w:ascii="HelveticaNeueLT Std" w:eastAsia="Helvetica Neue Thin" w:hAnsi="HelveticaNeueLT Std" w:cs="Helvetica Neue Thin"/>
        </w:rPr>
        <w:t>get further underneath</w:t>
      </w:r>
      <w:r w:rsidR="007E097A">
        <w:rPr>
          <w:rFonts w:ascii="HelveticaNeueLT Std" w:eastAsia="Helvetica Neue Thin" w:hAnsi="HelveticaNeueLT Std" w:cs="Helvetica Neue Thin"/>
        </w:rPr>
        <w:t xml:space="preserve"> this</w:t>
      </w:r>
      <w:r w:rsidR="00E90949">
        <w:rPr>
          <w:rFonts w:ascii="HelveticaNeueLT Std" w:eastAsia="Helvetica Neue Thin" w:hAnsi="HelveticaNeueLT Std" w:cs="Helvetica Neue Thin"/>
        </w:rPr>
        <w:t xml:space="preserve">. </w:t>
      </w:r>
      <w:r w:rsidR="00EC754A">
        <w:rPr>
          <w:rFonts w:ascii="HelveticaNeueLT Std" w:eastAsia="Helvetica Neue Thin" w:hAnsi="HelveticaNeueLT Std" w:cs="Helvetica Neue Thin"/>
        </w:rPr>
        <w:t xml:space="preserve">For example, it is known that there is stigma associated with mental health conditions and this can impact more strongly on </w:t>
      </w:r>
      <w:proofErr w:type="gramStart"/>
      <w:r w:rsidR="00EC754A">
        <w:rPr>
          <w:rFonts w:ascii="HelveticaNeueLT Std" w:eastAsia="Helvetica Neue Thin" w:hAnsi="HelveticaNeueLT Std" w:cs="Helvetica Neue Thin"/>
        </w:rPr>
        <w:t>particular groups</w:t>
      </w:r>
      <w:proofErr w:type="gramEnd"/>
      <w:r w:rsidR="00EC754A">
        <w:rPr>
          <w:rFonts w:ascii="HelveticaNeueLT Std" w:eastAsia="Helvetica Neue Thin" w:hAnsi="HelveticaNeueLT Std" w:cs="Helvetica Neue Thin"/>
        </w:rPr>
        <w:t>. What impact does this have on people self-identifying as having a condition and/or being</w:t>
      </w:r>
      <w:r w:rsidR="00EC4F50">
        <w:rPr>
          <w:rFonts w:ascii="HelveticaNeueLT Std" w:eastAsia="Helvetica Neue Thin" w:hAnsi="HelveticaNeueLT Std" w:cs="Helvetica Neue Thin"/>
        </w:rPr>
        <w:t xml:space="preserve"> willing/able to access support? </w:t>
      </w:r>
    </w:p>
    <w:p w14:paraId="08E33507" w14:textId="77777777" w:rsidR="00CD2379" w:rsidRDefault="00CD2379" w:rsidP="7692893D">
      <w:pPr>
        <w:spacing w:line="276" w:lineRule="auto"/>
        <w:rPr>
          <w:rFonts w:ascii="HelveticaNeueLT Std" w:eastAsia="Helvetica Neue Thin" w:hAnsi="HelveticaNeueLT Std" w:cs="Helvetica Neue Thin"/>
          <w:b/>
          <w:bCs/>
        </w:rPr>
      </w:pPr>
    </w:p>
    <w:p w14:paraId="3F268AA7" w14:textId="11AF3078" w:rsidR="005D1B74" w:rsidRPr="005D1B74" w:rsidRDefault="005D1B74" w:rsidP="7692893D">
      <w:pPr>
        <w:spacing w:line="276" w:lineRule="auto"/>
        <w:rPr>
          <w:rFonts w:ascii="HelveticaNeueLT Std" w:eastAsia="Helvetica Neue Thin" w:hAnsi="HelveticaNeueLT Std" w:cs="Helvetica Neue Thin"/>
          <w:b/>
          <w:bCs/>
        </w:rPr>
      </w:pPr>
      <w:r>
        <w:rPr>
          <w:rFonts w:ascii="HelveticaNeueLT Std" w:eastAsia="Helvetica Neue Thin" w:hAnsi="HelveticaNeueLT Std" w:cs="Helvetica Neue Thin"/>
          <w:b/>
          <w:bCs/>
        </w:rPr>
        <w:t>What are e</w:t>
      </w:r>
      <w:r w:rsidRPr="005D1B74">
        <w:rPr>
          <w:rFonts w:ascii="HelveticaNeueLT Std" w:eastAsia="Helvetica Neue Thin" w:hAnsi="HelveticaNeueLT Std" w:cs="Helvetica Neue Thin"/>
          <w:b/>
          <w:bCs/>
        </w:rPr>
        <w:t>ffective interventions?</w:t>
      </w:r>
    </w:p>
    <w:p w14:paraId="189BF83C" w14:textId="3188EBF1" w:rsidR="00851901" w:rsidRPr="00596D2C" w:rsidRDefault="00B1202D" w:rsidP="00847A6A">
      <w:pPr>
        <w:spacing w:line="276" w:lineRule="auto"/>
        <w:rPr>
          <w:rFonts w:ascii="HelveticaNeueLT Std" w:hAnsi="HelveticaNeueLT Std"/>
        </w:rPr>
      </w:pPr>
      <w:r>
        <w:rPr>
          <w:rFonts w:ascii="HelveticaNeueLT Std" w:eastAsia="Helvetica Neue Thin" w:hAnsi="HelveticaNeueLT Std" w:cs="Helvetica Neue Thin"/>
        </w:rPr>
        <w:t>The next step</w:t>
      </w:r>
      <w:r w:rsidR="00BC3C1B">
        <w:rPr>
          <w:rFonts w:ascii="HelveticaNeueLT Std" w:eastAsia="Helvetica Neue Thin" w:hAnsi="HelveticaNeueLT Std" w:cs="Helvetica Neue Thin"/>
        </w:rPr>
        <w:t xml:space="preserve"> </w:t>
      </w:r>
      <w:r w:rsidR="00C66A7C">
        <w:rPr>
          <w:rFonts w:ascii="HelveticaNeueLT Std" w:eastAsia="Helvetica Neue Thin" w:hAnsi="HelveticaNeueLT Std" w:cs="Helvetica Neue Thin"/>
        </w:rPr>
        <w:t xml:space="preserve">from understanding </w:t>
      </w:r>
      <w:r w:rsidR="00851901">
        <w:rPr>
          <w:rFonts w:ascii="HelveticaNeueLT Std" w:eastAsia="Helvetica Neue Thin" w:hAnsi="HelveticaNeueLT Std" w:cs="Helvetica Neue Thin"/>
        </w:rPr>
        <w:t xml:space="preserve">the development of </w:t>
      </w:r>
      <w:r w:rsidR="00915952">
        <w:rPr>
          <w:rFonts w:ascii="HelveticaNeueLT Std" w:eastAsia="Helvetica Neue Thin" w:hAnsi="HelveticaNeueLT Std" w:cs="Helvetica Neue Thin"/>
        </w:rPr>
        <w:t>multimorbidity</w:t>
      </w:r>
      <w:r w:rsidR="00851901">
        <w:rPr>
          <w:rFonts w:ascii="HelveticaNeueLT Std" w:eastAsia="Helvetica Neue Thin" w:hAnsi="HelveticaNeueLT Std" w:cs="Helvetica Neue Thin"/>
        </w:rPr>
        <w:t xml:space="preserve"> is </w:t>
      </w:r>
      <w:r w:rsidR="00D57B90">
        <w:rPr>
          <w:rFonts w:ascii="HelveticaNeueLT Std" w:eastAsia="Helvetica Neue Thin" w:hAnsi="HelveticaNeueLT Std" w:cs="Helvetica Neue Thin"/>
        </w:rPr>
        <w:t>of course the question of how we can effectively intervene</w:t>
      </w:r>
      <w:r w:rsidR="00847A6A">
        <w:rPr>
          <w:rFonts w:ascii="HelveticaNeueLT Std" w:eastAsia="Helvetica Neue Thin" w:hAnsi="HelveticaNeueLT Std" w:cs="Helvetica Neue Thin"/>
        </w:rPr>
        <w:t xml:space="preserve"> to </w:t>
      </w:r>
      <w:r w:rsidR="00851901" w:rsidRPr="00596D2C">
        <w:rPr>
          <w:rFonts w:ascii="HelveticaNeueLT Std" w:eastAsia="Helvetica Neue Thin" w:hAnsi="HelveticaNeueLT Std" w:cs="Helvetica Neue Thin"/>
        </w:rPr>
        <w:t>prevent</w:t>
      </w:r>
      <w:r w:rsidR="006B46C9">
        <w:rPr>
          <w:rFonts w:ascii="HelveticaNeueLT Std" w:eastAsia="Helvetica Neue Thin" w:hAnsi="HelveticaNeueLT Std" w:cs="Helvetica Neue Thin"/>
        </w:rPr>
        <w:t xml:space="preserve"> or slow</w:t>
      </w:r>
      <w:r w:rsidR="00851901" w:rsidRPr="00596D2C">
        <w:rPr>
          <w:rFonts w:ascii="HelveticaNeueLT Std" w:eastAsia="Helvetica Neue Thin" w:hAnsi="HelveticaNeueLT Std" w:cs="Helvetica Neue Thin"/>
        </w:rPr>
        <w:t xml:space="preserve"> progression from a single long-term condition to multiple</w:t>
      </w:r>
      <w:r w:rsidR="00BC1066">
        <w:rPr>
          <w:rFonts w:ascii="HelveticaNeueLT Std" w:eastAsia="Helvetica Neue Thin" w:hAnsi="HelveticaNeueLT Std" w:cs="Helvetica Neue Thin"/>
        </w:rPr>
        <w:t xml:space="preserve"> conditions.</w:t>
      </w:r>
    </w:p>
    <w:p w14:paraId="09978B7E" w14:textId="1EE70428" w:rsidR="00405ED9" w:rsidRDefault="005D1B74" w:rsidP="7692893D">
      <w:pPr>
        <w:spacing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t>T</w:t>
      </w:r>
      <w:r w:rsidR="001E18FC">
        <w:rPr>
          <w:rFonts w:ascii="HelveticaNeueLT Std" w:eastAsia="Helvetica Neue Thin" w:hAnsi="HelveticaNeueLT Std" w:cs="Helvetica Neue Thin"/>
        </w:rPr>
        <w:t xml:space="preserve">here is </w:t>
      </w:r>
      <w:r w:rsidR="00716D26">
        <w:rPr>
          <w:rFonts w:ascii="HelveticaNeueLT Std" w:eastAsia="Helvetica Neue Thin" w:hAnsi="HelveticaNeueLT Std" w:cs="Helvetica Neue Thin"/>
        </w:rPr>
        <w:t xml:space="preserve">currently </w:t>
      </w:r>
      <w:r w:rsidR="001E18FC">
        <w:rPr>
          <w:rFonts w:ascii="HelveticaNeueLT Std" w:eastAsia="Helvetica Neue Thin" w:hAnsi="HelveticaNeueLT Std" w:cs="Helvetica Neue Thin"/>
        </w:rPr>
        <w:t xml:space="preserve">little evidence about </w:t>
      </w:r>
      <w:r w:rsidR="00D5194D">
        <w:rPr>
          <w:rFonts w:ascii="HelveticaNeueLT Std" w:eastAsia="Helvetica Neue Thin" w:hAnsi="HelveticaNeueLT Std" w:cs="Helvetica Neue Thin"/>
        </w:rPr>
        <w:t xml:space="preserve">what </w:t>
      </w:r>
      <w:r w:rsidR="001E18FC" w:rsidRPr="00826D55">
        <w:rPr>
          <w:rFonts w:ascii="HelveticaNeueLT Std" w:eastAsia="Helvetica Neue Thin" w:hAnsi="HelveticaNeueLT Std" w:cs="Helvetica Neue Thin"/>
        </w:rPr>
        <w:t>interventions</w:t>
      </w:r>
      <w:r w:rsidR="001E18FC">
        <w:rPr>
          <w:rFonts w:ascii="HelveticaNeueLT Std" w:eastAsia="Helvetica Neue Thin" w:hAnsi="HelveticaNeueLT Std" w:cs="Helvetica Neue Thin"/>
        </w:rPr>
        <w:t xml:space="preserve"> could help to slow down </w:t>
      </w:r>
      <w:r w:rsidR="00826D55">
        <w:rPr>
          <w:rFonts w:ascii="HelveticaNeueLT Std" w:eastAsia="Helvetica Neue Thin" w:hAnsi="HelveticaNeueLT Std" w:cs="Helvetica Neue Thin"/>
        </w:rPr>
        <w:t>the</w:t>
      </w:r>
      <w:r w:rsidR="001E18FC">
        <w:rPr>
          <w:rFonts w:ascii="HelveticaNeueLT Std" w:eastAsia="Helvetica Neue Thin" w:hAnsi="HelveticaNeueLT Std" w:cs="Helvetica Neue Thin"/>
        </w:rPr>
        <w:t xml:space="preserve"> trajectory</w:t>
      </w:r>
      <w:r w:rsidR="00826D55">
        <w:rPr>
          <w:rFonts w:ascii="HelveticaNeueLT Std" w:eastAsia="Helvetica Neue Thin" w:hAnsi="HelveticaNeueLT Std" w:cs="Helvetica Neue Thin"/>
        </w:rPr>
        <w:t xml:space="preserve"> to multiple long-term conditions</w:t>
      </w:r>
      <w:r w:rsidR="00B80E34">
        <w:rPr>
          <w:rFonts w:ascii="HelveticaNeueLT Std" w:eastAsia="Helvetica Neue Thin" w:hAnsi="HelveticaNeueLT Std" w:cs="Helvetica Neue Thin"/>
        </w:rPr>
        <w:t xml:space="preserve">, including those that address the social determinants of health and/or </w:t>
      </w:r>
      <w:r w:rsidR="0036703B">
        <w:rPr>
          <w:rFonts w:ascii="HelveticaNeueLT Std" w:eastAsia="Helvetica Neue Thin" w:hAnsi="HelveticaNeueLT Std" w:cs="Helvetica Neue Thin"/>
        </w:rPr>
        <w:t>relate to hea</w:t>
      </w:r>
      <w:r w:rsidR="001936C1">
        <w:rPr>
          <w:rFonts w:ascii="HelveticaNeueLT Std" w:eastAsia="Helvetica Neue Thin" w:hAnsi="HelveticaNeueLT Std" w:cs="Helvetica Neue Thin"/>
        </w:rPr>
        <w:t>lth inequalities</w:t>
      </w:r>
      <w:r w:rsidR="001E18FC">
        <w:rPr>
          <w:rFonts w:ascii="HelveticaNeueLT Std" w:eastAsia="Helvetica Neue Thin" w:hAnsi="HelveticaNeueLT Std" w:cs="Helvetica Neue Thin"/>
        </w:rPr>
        <w:t>.</w:t>
      </w:r>
      <w:r w:rsidR="0043238D">
        <w:rPr>
          <w:rFonts w:ascii="HelveticaNeueLT Std" w:eastAsia="Helvetica Neue Thin" w:hAnsi="HelveticaNeueLT Std" w:cs="Helvetica Neue Thin"/>
        </w:rPr>
        <w:t xml:space="preserve"> There is real need to develop the evidence</w:t>
      </w:r>
      <w:r w:rsidR="00011C99">
        <w:rPr>
          <w:rFonts w:ascii="HelveticaNeueLT Std" w:eastAsia="Helvetica Neue Thin" w:hAnsi="HelveticaNeueLT Std" w:cs="Helvetica Neue Thin"/>
        </w:rPr>
        <w:t xml:space="preserve"> base around how we might influence</w:t>
      </w:r>
      <w:r w:rsidR="006844AF">
        <w:rPr>
          <w:rFonts w:ascii="HelveticaNeueLT Std" w:eastAsia="Helvetica Neue Thin" w:hAnsi="HelveticaNeueLT Std" w:cs="Helvetica Neue Thin"/>
        </w:rPr>
        <w:t xml:space="preserve"> people’s </w:t>
      </w:r>
      <w:r w:rsidR="005D7D89">
        <w:rPr>
          <w:rFonts w:ascii="HelveticaNeueLT Std" w:eastAsia="Helvetica Neue Thin" w:hAnsi="HelveticaNeueLT Std" w:cs="Helvetica Neue Thin"/>
        </w:rPr>
        <w:t>health outcomes through intervening in areas like finance, employment and housing (see further detail below).</w:t>
      </w:r>
    </w:p>
    <w:p w14:paraId="6CAE9670" w14:textId="5BD63BC5" w:rsidR="00D96042" w:rsidRPr="0030744B" w:rsidRDefault="00405ED9" w:rsidP="00405ED9">
      <w:pPr>
        <w:spacing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t>Finally, it should be noted, that i</w:t>
      </w:r>
      <w:r w:rsidR="005C3951">
        <w:rPr>
          <w:rFonts w:ascii="HelveticaNeueLT Std" w:eastAsia="Helvetica Neue Thin" w:hAnsi="HelveticaNeueLT Std" w:cs="Helvetica Neue Thin"/>
        </w:rPr>
        <w:t>n respect of both evidence related to progression and interventions, very</w:t>
      </w:r>
      <w:r w:rsidR="00D96042" w:rsidRPr="0030744B">
        <w:rPr>
          <w:rFonts w:ascii="HelveticaNeueLT Std" w:eastAsia="Helvetica Neue Thin" w:hAnsi="HelveticaNeueLT Std" w:cs="Helvetica Neue Thin"/>
        </w:rPr>
        <w:t xml:space="preserve"> little research</w:t>
      </w:r>
      <w:r w:rsidR="005C3951">
        <w:rPr>
          <w:rFonts w:ascii="HelveticaNeueLT Std" w:eastAsia="Helvetica Neue Thin" w:hAnsi="HelveticaNeueLT Std" w:cs="Helvetica Neue Thin"/>
        </w:rPr>
        <w:t xml:space="preserve"> is</w:t>
      </w:r>
      <w:r w:rsidR="00D96042" w:rsidRPr="0030744B">
        <w:rPr>
          <w:rFonts w:ascii="HelveticaNeueLT Std" w:eastAsia="Helvetica Neue Thin" w:hAnsi="HelveticaNeueLT Std" w:cs="Helvetica Neue Thin"/>
        </w:rPr>
        <w:t xml:space="preserve"> focused on adults of working age (as </w:t>
      </w:r>
      <w:r w:rsidR="00D96042">
        <w:rPr>
          <w:rFonts w:ascii="HelveticaNeueLT Std" w:eastAsia="Helvetica Neue Thin" w:hAnsi="HelveticaNeueLT Std" w:cs="Helvetica Neue Thin"/>
        </w:rPr>
        <w:t xml:space="preserve">opposed to </w:t>
      </w:r>
      <w:r w:rsidR="00D96042" w:rsidRPr="0030744B">
        <w:rPr>
          <w:rFonts w:ascii="HelveticaNeueLT Std" w:eastAsia="Helvetica Neue Thin" w:hAnsi="HelveticaNeueLT Std" w:cs="Helvetica Neue Thin"/>
        </w:rPr>
        <w:t>older populations), although ou</w:t>
      </w:r>
      <w:r w:rsidR="005C3951">
        <w:rPr>
          <w:rFonts w:ascii="HelveticaNeueLT Std" w:eastAsia="Helvetica Neue Thin" w:hAnsi="HelveticaNeueLT Std" w:cs="Helvetica Neue Thin"/>
        </w:rPr>
        <w:t>r</w:t>
      </w:r>
      <w:r w:rsidR="00D96042" w:rsidRPr="0030744B">
        <w:rPr>
          <w:rFonts w:ascii="HelveticaNeueLT Std" w:eastAsia="Helvetica Neue Thin" w:hAnsi="HelveticaNeueLT Std" w:cs="Helvetica Neue Thin"/>
        </w:rPr>
        <w:t xml:space="preserve"> data suggests this is the period in people’s lives when they progress from one condition to more. </w:t>
      </w:r>
    </w:p>
    <w:p w14:paraId="20CD2931" w14:textId="5D903B7E" w:rsidR="00A46AE5" w:rsidRDefault="00A46AE5">
      <w:pPr>
        <w:rPr>
          <w:rFonts w:ascii="HelveticaNeueLT Std" w:eastAsia="Helvetica Neue Thin" w:hAnsi="HelveticaNeueLT Std" w:cs="Helvetica Neue Thin"/>
          <w:b/>
          <w:bCs/>
        </w:rPr>
      </w:pPr>
    </w:p>
    <w:p w14:paraId="125590F3" w14:textId="7376C668" w:rsidR="7692893D" w:rsidRPr="00E668A7" w:rsidRDefault="51EC1EE2" w:rsidP="00E668A7">
      <w:pPr>
        <w:rPr>
          <w:rFonts w:ascii="HelveticaNeueLT Std" w:eastAsia="Helvetica Neue Thin" w:hAnsi="HelveticaNeueLT Std" w:cs="Helvetica Neue Thin"/>
        </w:rPr>
      </w:pPr>
      <w:r w:rsidRPr="00E668A7">
        <w:rPr>
          <w:rFonts w:ascii="HelveticaNeueLT Std" w:eastAsia="HelveticaNeueLt Thin" w:hAnsi="HelveticaNeueLT Std" w:cs="HelveticaNeueLt Thin"/>
          <w:b/>
          <w:bCs/>
          <w:color w:val="551F75"/>
          <w:sz w:val="28"/>
          <w:szCs w:val="28"/>
        </w:rPr>
        <w:lastRenderedPageBreak/>
        <w:t>The Scope</w:t>
      </w:r>
    </w:p>
    <w:p w14:paraId="740B0A48" w14:textId="14D28625" w:rsidR="00ED6052" w:rsidRDefault="002B1280" w:rsidP="00ED6052">
      <w:pPr>
        <w:spacing w:after="100" w:line="276" w:lineRule="auto"/>
        <w:rPr>
          <w:rFonts w:ascii="HelveticaNeueLT Std" w:eastAsia="HelveticaNeueLt Thin" w:hAnsi="HelveticaNeueLT Std" w:cs="HelveticaNeueLt Thin"/>
        </w:rPr>
      </w:pPr>
      <w:r>
        <w:rPr>
          <w:rFonts w:ascii="HelveticaNeueLT Std" w:eastAsia="HelveticaNeueLt Thin" w:hAnsi="HelveticaNeueLT Std" w:cs="HelveticaNeueLt Thin"/>
        </w:rPr>
        <w:t>T</w:t>
      </w:r>
      <w:r w:rsidR="00ED6052" w:rsidRPr="00E668A7">
        <w:rPr>
          <w:rFonts w:ascii="HelveticaNeueLT Std" w:eastAsia="HelveticaNeueLt Thin" w:hAnsi="HelveticaNeueLT Std" w:cs="HelveticaNeueLt Thin"/>
        </w:rPr>
        <w:t xml:space="preserve">he focus of this call is </w:t>
      </w:r>
      <w:r w:rsidR="006B657A">
        <w:rPr>
          <w:rFonts w:ascii="HelveticaNeueLT Std" w:eastAsia="HelveticaNeueLt Thin" w:hAnsi="HelveticaNeueLT Std" w:cs="HelveticaNeueLt Thin"/>
        </w:rPr>
        <w:t xml:space="preserve">for preventative </w:t>
      </w:r>
      <w:r w:rsidR="006B657A">
        <w:rPr>
          <w:rFonts w:ascii="HelveticaNeueLT Std" w:eastAsia="Helvetica Neue Thin" w:hAnsi="HelveticaNeueLT Std" w:cs="Helvetica Neue Thin"/>
        </w:rPr>
        <w:t xml:space="preserve">efforts to slow progression for working age adults, who live with one health conditions and are at risk of developing many. This requires </w:t>
      </w:r>
      <w:r w:rsidR="00ED6052" w:rsidRPr="00E668A7">
        <w:rPr>
          <w:rFonts w:ascii="HelveticaNeueLT Std" w:eastAsia="HelveticaNeueLt Thin" w:hAnsi="HelveticaNeueLT Std" w:cs="HelveticaNeueLt Thin"/>
        </w:rPr>
        <w:t>to</w:t>
      </w:r>
      <w:r w:rsidR="00ED6052">
        <w:rPr>
          <w:rFonts w:ascii="HelveticaNeueLT Std" w:eastAsia="HelveticaNeueLt Thin" w:hAnsi="HelveticaNeueLT Std" w:cs="HelveticaNeueLt Thin"/>
        </w:rPr>
        <w:t>:</w:t>
      </w:r>
    </w:p>
    <w:p w14:paraId="66966B62" w14:textId="1E4D75A2" w:rsidR="00ED6052" w:rsidRPr="00AD0966" w:rsidRDefault="00ED6052" w:rsidP="00ED6052">
      <w:pPr>
        <w:pStyle w:val="ListParagraph"/>
        <w:numPr>
          <w:ilvl w:val="0"/>
          <w:numId w:val="7"/>
        </w:numPr>
        <w:spacing w:after="100" w:line="276" w:lineRule="auto"/>
        <w:rPr>
          <w:rFonts w:ascii="HelveticaNeueLT Std" w:eastAsia="HelveticaNeueLt Thin" w:hAnsi="HelveticaNeueLT Std" w:cs="HelveticaNeueLt Thin"/>
        </w:rPr>
      </w:pPr>
      <w:r w:rsidRPr="00AD0966">
        <w:rPr>
          <w:rFonts w:ascii="HelveticaNeueLT Std" w:eastAsia="HelveticaNeueLt Thin" w:hAnsi="HelveticaNeueLT Std" w:cs="HelveticaNeueLt Thin"/>
        </w:rPr>
        <w:t xml:space="preserve">examine </w:t>
      </w:r>
      <w:r w:rsidR="006B657A">
        <w:rPr>
          <w:rFonts w:ascii="HelveticaNeueLT Std" w:eastAsia="HelveticaNeueLt Thin" w:hAnsi="HelveticaNeueLT Std" w:cs="HelveticaNeueLt Thin"/>
        </w:rPr>
        <w:t xml:space="preserve">how circumstances </w:t>
      </w:r>
      <w:r w:rsidR="006B657A">
        <w:rPr>
          <w:rFonts w:ascii="HelveticaNeueLT Std" w:eastAsia="Helvetica Neue Thin" w:hAnsi="HelveticaNeueLT Std" w:cs="Helvetica Neue Thin"/>
        </w:rPr>
        <w:t xml:space="preserve">and environments (employment, finances, housing) impact </w:t>
      </w:r>
      <w:r w:rsidRPr="00AD0966">
        <w:rPr>
          <w:rFonts w:ascii="HelveticaNeueLT Std" w:eastAsia="HelveticaNeueLt Thin" w:hAnsi="HelveticaNeueLT Std" w:cs="HelveticaNeueLt Thin"/>
        </w:rPr>
        <w:t xml:space="preserve">the progression from one long-term condition to a second or third long-term condition, in </w:t>
      </w:r>
      <w:r w:rsidRPr="00AD0966">
        <w:rPr>
          <w:rFonts w:ascii="HelveticaNeueLT Std" w:eastAsia="HelveticaNeueLt Thin" w:hAnsi="HelveticaNeueLT Std" w:cs="HelveticaNeueLt Thin"/>
          <w:b/>
          <w:bCs/>
        </w:rPr>
        <w:t>working age</w:t>
      </w:r>
      <w:r w:rsidRPr="00AD0966">
        <w:rPr>
          <w:rFonts w:ascii="HelveticaNeueLT Std" w:eastAsia="HelveticaNeueLt Thin" w:hAnsi="HelveticaNeueLT Std" w:cs="HelveticaNeueLt Thin"/>
        </w:rPr>
        <w:t xml:space="preserve"> adults </w:t>
      </w:r>
      <w:r w:rsidRPr="00AD0966">
        <w:rPr>
          <w:rFonts w:ascii="HelveticaNeueLT Std" w:eastAsia="HelveticaNeueLt Thin" w:hAnsi="HelveticaNeueLT Std" w:cs="HelveticaNeueLt Thin"/>
          <w:b/>
          <w:bCs/>
        </w:rPr>
        <w:t>in Lambeth and Southwark</w:t>
      </w:r>
    </w:p>
    <w:p w14:paraId="33A278ED" w14:textId="77777777" w:rsidR="00ED6052" w:rsidRDefault="00ED6052" w:rsidP="00ED6052">
      <w:pPr>
        <w:pStyle w:val="ListParagraph"/>
        <w:numPr>
          <w:ilvl w:val="0"/>
          <w:numId w:val="7"/>
        </w:numPr>
        <w:spacing w:after="100" w:line="276" w:lineRule="auto"/>
        <w:rPr>
          <w:rFonts w:ascii="HelveticaNeueLT Std" w:eastAsia="HelveticaNeueLt Thin" w:hAnsi="HelveticaNeueLT Std" w:cs="HelveticaNeueLt Thin"/>
        </w:rPr>
      </w:pPr>
      <w:r>
        <w:rPr>
          <w:rFonts w:ascii="HelveticaNeueLT Std" w:eastAsia="HelveticaNeueLt Thin" w:hAnsi="HelveticaNeueLT Std" w:cs="HelveticaNeueLt Thin"/>
          <w:b/>
          <w:bCs/>
        </w:rPr>
        <w:t>understand</w:t>
      </w:r>
      <w:r w:rsidRPr="00AD0966">
        <w:rPr>
          <w:rFonts w:ascii="HelveticaNeueLT Std" w:eastAsia="HelveticaNeueLt Thin" w:hAnsi="HelveticaNeueLT Std" w:cs="HelveticaNeueLt Thin"/>
        </w:rPr>
        <w:t xml:space="preserve"> how this progression could be slowed down or halted through interventions. </w:t>
      </w:r>
    </w:p>
    <w:p w14:paraId="45DEC9EB" w14:textId="77777777" w:rsidR="001E3FF8" w:rsidRDefault="001E3FF8" w:rsidP="000A3E47">
      <w:pPr>
        <w:spacing w:after="0" w:line="276" w:lineRule="auto"/>
        <w:rPr>
          <w:rFonts w:ascii="HelveticaNeueLT Std" w:eastAsia="Helvetica Neue Thin" w:hAnsi="HelveticaNeueLT Std" w:cs="Helvetica Neue Thin"/>
        </w:rPr>
      </w:pPr>
    </w:p>
    <w:p w14:paraId="23DD8BF4" w14:textId="2800E85C" w:rsidR="000A3E47" w:rsidRDefault="000A3E47" w:rsidP="000A3E47">
      <w:pPr>
        <w:spacing w:after="0"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t xml:space="preserve">Working with experts, </w:t>
      </w:r>
      <w:r w:rsidR="002B1280">
        <w:rPr>
          <w:rFonts w:ascii="HelveticaNeueLT Std" w:eastAsia="Helvetica Neue Thin" w:hAnsi="HelveticaNeueLT Std" w:cs="Helvetica Neue Thin"/>
        </w:rPr>
        <w:t>t</w:t>
      </w:r>
      <w:r w:rsidRPr="00C62EC0">
        <w:rPr>
          <w:rFonts w:ascii="HelveticaNeueLT Std" w:eastAsia="Helvetica Neue Thin" w:hAnsi="HelveticaNeueLT Std" w:cs="Helvetica Neue Thin"/>
        </w:rPr>
        <w:t xml:space="preserve">he Charity </w:t>
      </w:r>
      <w:r>
        <w:rPr>
          <w:rFonts w:ascii="HelveticaNeueLT Std" w:eastAsia="Helvetica Neue Thin" w:hAnsi="HelveticaNeueLT Std" w:cs="Helvetica Neue Thin"/>
        </w:rPr>
        <w:t xml:space="preserve">has developed the following programme focus on 32 long-term conditions and 6 risk factors. </w:t>
      </w:r>
    </w:p>
    <w:p w14:paraId="054EDACC" w14:textId="77777777" w:rsidR="000A3E47" w:rsidRDefault="000A3E47" w:rsidP="000A3E47">
      <w:pPr>
        <w:spacing w:after="0" w:line="276" w:lineRule="auto"/>
        <w:rPr>
          <w:rFonts w:ascii="HelveticaNeueLT Std" w:eastAsia="Helvetica Neue Thin" w:hAnsi="HelveticaNeueLT Std" w:cs="Helvetica Neue Thin"/>
        </w:rPr>
      </w:pPr>
    </w:p>
    <w:p w14:paraId="3D2C7EB4" w14:textId="77777777" w:rsidR="000A3E47" w:rsidRDefault="000A3E47" w:rsidP="000A3E47">
      <w:pPr>
        <w:spacing w:after="0" w:line="276" w:lineRule="auto"/>
        <w:rPr>
          <w:rFonts w:ascii="HelveticaNeueLT Std" w:eastAsia="Helvetica Neue Thin" w:hAnsi="HelveticaNeueLT Std" w:cs="Helvetica Neue Thin"/>
        </w:rPr>
      </w:pPr>
      <w:r>
        <w:rPr>
          <w:noProof/>
        </w:rPr>
        <w:drawing>
          <wp:inline distT="0" distB="0" distL="0" distR="0" wp14:anchorId="45137B43" wp14:editId="176C84CC">
            <wp:extent cx="6120130" cy="4137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2AA22" w14:textId="77777777" w:rsidR="001E3FF8" w:rsidRDefault="001E3FF8" w:rsidP="000A3E47">
      <w:pPr>
        <w:spacing w:after="100" w:line="276" w:lineRule="auto"/>
        <w:rPr>
          <w:rFonts w:ascii="HelveticaNeueLT Std" w:eastAsia="Helvetica Neue Thin" w:hAnsi="HelveticaNeueLT Std" w:cs="Helvetica Neue Thin"/>
        </w:rPr>
      </w:pPr>
    </w:p>
    <w:p w14:paraId="6289E33C" w14:textId="0EF51491" w:rsidR="000A3E47" w:rsidRDefault="000A3E47" w:rsidP="000A3E47">
      <w:pPr>
        <w:spacing w:after="100"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t xml:space="preserve">The call is not focused on people over the age of 65 or people who are at the end of their lives. </w:t>
      </w:r>
      <w:r w:rsidR="008C5C0D">
        <w:rPr>
          <w:rFonts w:ascii="HelveticaNeueLT Std" w:eastAsia="Helvetica Neue Thin" w:hAnsi="HelveticaNeueLT Std" w:cs="Helvetica Neue Thin"/>
        </w:rPr>
        <w:t>It is also not focused on children or adolescents (as we know</w:t>
      </w:r>
      <w:r w:rsidR="00836F09">
        <w:rPr>
          <w:rFonts w:ascii="HelveticaNeueLT Std" w:eastAsia="Helvetica Neue Thin" w:hAnsi="HelveticaNeueLT Std" w:cs="Helvetica Neue Thin"/>
        </w:rPr>
        <w:t xml:space="preserve"> people in Lambeth and Southwark on average develop their first long-term condition in their 30s and their second, if they develop one, in their 40s).</w:t>
      </w:r>
    </w:p>
    <w:p w14:paraId="7B05EC45" w14:textId="2BE5C1AE" w:rsidR="00ED6052" w:rsidRDefault="005815E7" w:rsidP="000A3E47">
      <w:pPr>
        <w:spacing w:after="100" w:line="276" w:lineRule="auto"/>
        <w:rPr>
          <w:rFonts w:ascii="HelveticaNeueLT Std" w:eastAsia="HelveticaNeueLt Thin" w:hAnsi="HelveticaNeueLT Std" w:cs="HelveticaNeueLt Thin"/>
        </w:rPr>
      </w:pPr>
      <w:r>
        <w:rPr>
          <w:rFonts w:ascii="HelveticaNeueLT Std" w:eastAsia="HelveticaNeueLt Thin" w:hAnsi="HelveticaNeueLT Std" w:cs="HelveticaNeueLt Thin"/>
        </w:rPr>
        <w:t>Given the issues around inequality, described above, w</w:t>
      </w:r>
      <w:r w:rsidR="00ED6052" w:rsidRPr="00AD0966">
        <w:rPr>
          <w:rFonts w:ascii="HelveticaNeueLT Std" w:eastAsia="HelveticaNeueLt Thin" w:hAnsi="HelveticaNeueLT Std" w:cs="HelveticaNeueLt Thin"/>
        </w:rPr>
        <w:t>e are particularly interested in</w:t>
      </w:r>
      <w:r>
        <w:rPr>
          <w:rFonts w:ascii="HelveticaNeueLT Std" w:eastAsia="HelveticaNeueLt Thin" w:hAnsi="HelveticaNeueLT Std" w:cs="HelveticaNeueLt Thin"/>
        </w:rPr>
        <w:t xml:space="preserve"> studies, which focus on</w:t>
      </w:r>
      <w:r w:rsidR="00ED6052" w:rsidRPr="00AD0966">
        <w:rPr>
          <w:rFonts w:ascii="HelveticaNeueLT Std" w:eastAsia="HelveticaNeueLt Thin" w:hAnsi="HelveticaNeueLT Std" w:cs="HelveticaNeueLt Thin"/>
        </w:rPr>
        <w:t xml:space="preserve"> people from lower income </w:t>
      </w:r>
      <w:r w:rsidR="006A0576">
        <w:rPr>
          <w:rFonts w:ascii="HelveticaNeueLT Std" w:eastAsia="HelveticaNeueLt Thin" w:hAnsi="HelveticaNeueLT Std" w:cs="HelveticaNeueLt Thin"/>
        </w:rPr>
        <w:t>and/</w:t>
      </w:r>
      <w:r w:rsidR="00ED6052" w:rsidRPr="00AD0966">
        <w:rPr>
          <w:rFonts w:ascii="HelveticaNeueLT Std" w:eastAsia="HelveticaNeueLt Thin" w:hAnsi="HelveticaNeueLT Std" w:cs="HelveticaNeueLt Thin"/>
        </w:rPr>
        <w:t>or Black, Asian and Minority Ethnic communities.</w:t>
      </w:r>
      <w:r>
        <w:rPr>
          <w:rFonts w:ascii="HelveticaNeueLT Std" w:eastAsia="HelveticaNeueLt Thin" w:hAnsi="HelveticaNeueLT Std" w:cs="HelveticaNeueLt Thin"/>
        </w:rPr>
        <w:t xml:space="preserve"> </w:t>
      </w:r>
      <w:r w:rsidR="00EA0A8D">
        <w:rPr>
          <w:rFonts w:ascii="HelveticaNeueLT Std" w:eastAsia="HelveticaNeueLt Thin" w:hAnsi="HelveticaNeueLT Std" w:cs="HelveticaNeueLt Thin"/>
        </w:rPr>
        <w:t>The Charity</w:t>
      </w:r>
      <w:r>
        <w:rPr>
          <w:rFonts w:ascii="HelveticaNeueLT Std" w:eastAsia="HelveticaNeueLt Thin" w:hAnsi="HelveticaNeueLT Std" w:cs="HelveticaNeueLt Thin"/>
        </w:rPr>
        <w:t xml:space="preserve"> would </w:t>
      </w:r>
      <w:r w:rsidR="00EA0A8D">
        <w:rPr>
          <w:rFonts w:ascii="HelveticaNeueLT Std" w:eastAsia="HelveticaNeueLt Thin" w:hAnsi="HelveticaNeueLT Std" w:cs="HelveticaNeueLt Thin"/>
        </w:rPr>
        <w:t xml:space="preserve">also </w:t>
      </w:r>
      <w:r>
        <w:rPr>
          <w:rFonts w:ascii="HelveticaNeueLT Std" w:eastAsia="HelveticaNeueLt Thin" w:hAnsi="HelveticaNeueLT Std" w:cs="HelveticaNeueLt Thin"/>
        </w:rPr>
        <w:t>encourage researchers to consider intersectionality</w:t>
      </w:r>
      <w:r w:rsidR="006B57CA">
        <w:rPr>
          <w:rFonts w:ascii="HelveticaNeueLT Std" w:eastAsia="HelveticaNeueLt Thin" w:hAnsi="HelveticaNeueLT Std" w:cs="HelveticaNeueLt Thin"/>
        </w:rPr>
        <w:t xml:space="preserve"> and how specific groups may</w:t>
      </w:r>
      <w:r w:rsidR="00EA0A8D">
        <w:rPr>
          <w:rFonts w:ascii="HelveticaNeueLT Std" w:eastAsia="HelveticaNeueLt Thin" w:hAnsi="HelveticaNeueLT Std" w:cs="HelveticaNeueLt Thin"/>
        </w:rPr>
        <w:t xml:space="preserve"> have specific experiences and</w:t>
      </w:r>
      <w:r w:rsidR="006B57CA">
        <w:rPr>
          <w:rFonts w:ascii="HelveticaNeueLT Std" w:eastAsia="HelveticaNeueLt Thin" w:hAnsi="HelveticaNeueLT Std" w:cs="HelveticaNeueLt Thin"/>
        </w:rPr>
        <w:t xml:space="preserve"> face </w:t>
      </w:r>
      <w:proofErr w:type="gramStart"/>
      <w:r w:rsidR="006B57CA">
        <w:rPr>
          <w:rFonts w:ascii="HelveticaNeueLT Std" w:eastAsia="HelveticaNeueLt Thin" w:hAnsi="HelveticaNeueLT Std" w:cs="HelveticaNeueLt Thin"/>
        </w:rPr>
        <w:t>particular disadvantage</w:t>
      </w:r>
      <w:proofErr w:type="gramEnd"/>
      <w:r w:rsidR="00EA0A8D">
        <w:rPr>
          <w:rFonts w:ascii="HelveticaNeueLT Std" w:eastAsia="HelveticaNeueLt Thin" w:hAnsi="HelveticaNeueLT Std" w:cs="HelveticaNeueLt Thin"/>
        </w:rPr>
        <w:t>.</w:t>
      </w:r>
    </w:p>
    <w:p w14:paraId="2D45FA8B" w14:textId="1178C30F" w:rsidR="00ED6052" w:rsidRDefault="00ED6052" w:rsidP="00ED6052">
      <w:pPr>
        <w:spacing w:after="100" w:line="276" w:lineRule="auto"/>
        <w:rPr>
          <w:rFonts w:ascii="HelveticaNeueLT Std" w:eastAsia="HelveticaNeueLt Thin" w:hAnsi="HelveticaNeueLT Std" w:cs="HelveticaNeueLt Thin"/>
        </w:rPr>
      </w:pPr>
      <w:r>
        <w:rPr>
          <w:rFonts w:ascii="HelveticaNeueLT Std" w:eastAsia="HelveticaNeueLt Thin" w:hAnsi="HelveticaNeueLT Std" w:cs="HelveticaNeueLt Thin"/>
        </w:rPr>
        <w:t xml:space="preserve">Research within Lambeth and Southwark would be preferred, however research with populations outside of Lambeth and Southwark will be considered if the knowledge generated </w:t>
      </w:r>
      <w:r w:rsidRPr="00075787">
        <w:rPr>
          <w:rFonts w:ascii="HelveticaNeueLT Std" w:eastAsia="HelveticaNeueLt Thin" w:hAnsi="HelveticaNeueLT Std" w:cs="HelveticaNeueLt Thin"/>
        </w:rPr>
        <w:t>can be related back or compared to these local populations</w:t>
      </w:r>
      <w:r w:rsidR="001E3FF8">
        <w:rPr>
          <w:rFonts w:ascii="HelveticaNeueLT Std" w:eastAsia="HelveticaNeueLt Thin" w:hAnsi="HelveticaNeueLT Std" w:cs="HelveticaNeueLt Thin"/>
        </w:rPr>
        <w:t xml:space="preserve"> (for example in similarly urba</w:t>
      </w:r>
      <w:r w:rsidR="00BE4A5E">
        <w:rPr>
          <w:rFonts w:ascii="HelveticaNeueLT Std" w:eastAsia="HelveticaNeueLt Thin" w:hAnsi="HelveticaNeueLT Std" w:cs="HelveticaNeueLt Thin"/>
        </w:rPr>
        <w:t>n areas)</w:t>
      </w:r>
      <w:r>
        <w:rPr>
          <w:rFonts w:ascii="HelveticaNeueLT Std" w:eastAsia="HelveticaNeueLt Thin" w:hAnsi="HelveticaNeueLT Std" w:cs="HelveticaNeueLt Thin"/>
        </w:rPr>
        <w:t xml:space="preserve">. </w:t>
      </w:r>
    </w:p>
    <w:p w14:paraId="70A97A7D" w14:textId="004B0A16" w:rsidR="00ED6052" w:rsidRPr="00E668A7" w:rsidRDefault="00ED6052" w:rsidP="00ED6052">
      <w:pPr>
        <w:spacing w:line="276" w:lineRule="auto"/>
        <w:rPr>
          <w:rFonts w:ascii="HelveticaNeueLT Std" w:eastAsia="HelveticaNeueLt Thin" w:hAnsi="HelveticaNeueLT Std" w:cs="HelveticaNeueLt Thin"/>
        </w:rPr>
      </w:pPr>
      <w:r w:rsidRPr="00E668A7">
        <w:rPr>
          <w:rFonts w:ascii="HelveticaNeueLT Std" w:eastAsia="HelveticaNeueLt Thin" w:hAnsi="HelveticaNeueLT Std" w:cs="HelveticaNeueLt Thin"/>
        </w:rPr>
        <w:lastRenderedPageBreak/>
        <w:t xml:space="preserve">Diagnosis or management of individual long-term conditions is out of scope unless they are explicitly examining </w:t>
      </w:r>
      <w:r w:rsidR="004355FE">
        <w:rPr>
          <w:rFonts w:ascii="HelveticaNeueLT Std" w:eastAsia="HelveticaNeueLt Thin" w:hAnsi="HelveticaNeueLT Std" w:cs="HelveticaNeueLt Thin"/>
        </w:rPr>
        <w:t xml:space="preserve">(a) </w:t>
      </w:r>
      <w:r w:rsidRPr="00E668A7">
        <w:rPr>
          <w:rFonts w:ascii="HelveticaNeueLT Std" w:eastAsia="HelveticaNeueLt Thin" w:hAnsi="HelveticaNeueLT Std" w:cs="HelveticaNeueLt Thin"/>
        </w:rPr>
        <w:t>how this could slow down progression to multiple long-term conditions</w:t>
      </w:r>
      <w:r w:rsidR="00DC1D6B">
        <w:rPr>
          <w:rFonts w:ascii="HelveticaNeueLT Std" w:eastAsia="HelveticaNeueLt Thin" w:hAnsi="HelveticaNeueLT Std" w:cs="HelveticaNeueLt Thin"/>
        </w:rPr>
        <w:t>,</w:t>
      </w:r>
      <w:r>
        <w:rPr>
          <w:rFonts w:ascii="HelveticaNeueLT Std" w:eastAsia="HelveticaNeueLt Thin" w:hAnsi="HelveticaNeueLT Std" w:cs="HelveticaNeueLt Thin"/>
        </w:rPr>
        <w:t xml:space="preserve"> or </w:t>
      </w:r>
      <w:r w:rsidR="00C85F8A">
        <w:rPr>
          <w:rFonts w:ascii="HelveticaNeueLT Std" w:eastAsia="HelveticaNeueLt Thin" w:hAnsi="HelveticaNeueLT Std" w:cs="HelveticaNeueLt Thin"/>
        </w:rPr>
        <w:t>(b)</w:t>
      </w:r>
      <w:r w:rsidR="00E614B8">
        <w:rPr>
          <w:rFonts w:ascii="HelveticaNeueLT Std" w:eastAsia="HelveticaNeueLt Thin" w:hAnsi="HelveticaNeueLT Std" w:cs="HelveticaNeueLt Thin"/>
        </w:rPr>
        <w:t xml:space="preserve"> </w:t>
      </w:r>
      <w:r>
        <w:rPr>
          <w:rFonts w:ascii="HelveticaNeueLT Std" w:eastAsia="HelveticaNeueLt Thin" w:hAnsi="HelveticaNeueLT Std" w:cs="HelveticaNeueLt Thin"/>
        </w:rPr>
        <w:t xml:space="preserve">the </w:t>
      </w:r>
      <w:r w:rsidR="00970F1B">
        <w:rPr>
          <w:rFonts w:ascii="HelveticaNeueLT Std" w:eastAsia="HelveticaNeueLt Thin" w:hAnsi="HelveticaNeueLT Std" w:cs="HelveticaNeueLt Thin"/>
        </w:rPr>
        <w:t>inter</w:t>
      </w:r>
      <w:r>
        <w:rPr>
          <w:rFonts w:ascii="HelveticaNeueLT Std" w:eastAsia="HelveticaNeueLt Thin" w:hAnsi="HelveticaNeueLT Std" w:cs="HelveticaNeueLt Thin"/>
        </w:rPr>
        <w:t>relationship between that long-term condition</w:t>
      </w:r>
      <w:r w:rsidR="006B657A">
        <w:rPr>
          <w:rFonts w:ascii="HelveticaNeueLT Std" w:eastAsia="HelveticaNeueLt Thin" w:hAnsi="HelveticaNeueLT Std" w:cs="HelveticaNeueLt Thin"/>
        </w:rPr>
        <w:t xml:space="preserve"> and </w:t>
      </w:r>
      <w:r w:rsidR="00E01B08">
        <w:rPr>
          <w:rFonts w:ascii="HelveticaNeueLT Std" w:eastAsia="HelveticaNeueLt Thin" w:hAnsi="HelveticaNeueLT Std" w:cs="HelveticaNeueLt Thin"/>
        </w:rPr>
        <w:t>people’s</w:t>
      </w:r>
      <w:r w:rsidR="006B657A">
        <w:rPr>
          <w:rFonts w:ascii="HelveticaNeueLT Std" w:eastAsia="HelveticaNeueLt Thin" w:hAnsi="HelveticaNeueLT Std" w:cs="HelveticaNeueLt Thin"/>
        </w:rPr>
        <w:t xml:space="preserve"> circumstances</w:t>
      </w:r>
      <w:r w:rsidR="00970F1B">
        <w:rPr>
          <w:rFonts w:ascii="HelveticaNeueLT Std" w:eastAsia="HelveticaNeueLt Thin" w:hAnsi="HelveticaNeueLT Std" w:cs="HelveticaNeueLt Thin"/>
        </w:rPr>
        <w:t xml:space="preserve"> and </w:t>
      </w:r>
      <w:r w:rsidR="006B657A">
        <w:rPr>
          <w:rFonts w:ascii="HelveticaNeueLT Std" w:eastAsia="HelveticaNeueLt Thin" w:hAnsi="HelveticaNeueLT Std" w:cs="HelveticaNeueLt Thin"/>
        </w:rPr>
        <w:t>risk of developing</w:t>
      </w:r>
      <w:r w:rsidR="000410EF">
        <w:rPr>
          <w:rFonts w:ascii="HelveticaNeueLT Std" w:eastAsia="HelveticaNeueLt Thin" w:hAnsi="HelveticaNeueLT Std" w:cs="HelveticaNeueLt Thin"/>
        </w:rPr>
        <w:t xml:space="preserve"> </w:t>
      </w:r>
      <w:r>
        <w:rPr>
          <w:rFonts w:ascii="HelveticaNeueLT Std" w:eastAsia="HelveticaNeueLt Thin" w:hAnsi="HelveticaNeueLT Std" w:cs="HelveticaNeueLt Thin"/>
        </w:rPr>
        <w:t>another long-term condition</w:t>
      </w:r>
      <w:r w:rsidRPr="00E668A7">
        <w:rPr>
          <w:rFonts w:ascii="HelveticaNeueLT Std" w:eastAsia="HelveticaNeueLt Thin" w:hAnsi="HelveticaNeueLT Std" w:cs="HelveticaNeueLt Thin"/>
        </w:rPr>
        <w:t xml:space="preserve">. </w:t>
      </w:r>
    </w:p>
    <w:p w14:paraId="6845F0A0" w14:textId="2153B0F9" w:rsidR="00AC23E1" w:rsidRDefault="00ED6052" w:rsidP="00ED6052">
      <w:pPr>
        <w:spacing w:line="276" w:lineRule="auto"/>
        <w:rPr>
          <w:rFonts w:ascii="HelveticaNeueLT Std" w:eastAsia="HelveticaNeueLt Thin" w:hAnsi="HelveticaNeueLT Std" w:cs="HelveticaNeueLt Thin"/>
        </w:rPr>
      </w:pPr>
      <w:r>
        <w:rPr>
          <w:rFonts w:ascii="HelveticaNeueLT Std" w:eastAsia="HelveticaNeueLt Thin" w:hAnsi="HelveticaNeueLT Std" w:cs="HelveticaNeueLt Thin"/>
        </w:rPr>
        <w:t>W</w:t>
      </w:r>
      <w:r w:rsidRPr="00D62AD4">
        <w:rPr>
          <w:rFonts w:ascii="HelveticaNeueLT Std" w:eastAsia="HelveticaNeueLt Thin" w:hAnsi="HelveticaNeueLT Std" w:cs="HelveticaNeueLt Thin"/>
        </w:rPr>
        <w:t>e are looking for applications from across social sciences</w:t>
      </w:r>
      <w:r w:rsidR="004355A5">
        <w:rPr>
          <w:rFonts w:ascii="HelveticaNeueLT Std" w:eastAsia="HelveticaNeueLt Thin" w:hAnsi="HelveticaNeueLT Std" w:cs="HelveticaNeueLt Thin"/>
        </w:rPr>
        <w:t xml:space="preserve"> and medical science</w:t>
      </w:r>
      <w:r w:rsidR="002C7396">
        <w:rPr>
          <w:rFonts w:ascii="HelveticaNeueLT Std" w:eastAsia="HelveticaNeueLt Thin" w:hAnsi="HelveticaNeueLT Std" w:cs="HelveticaNeueLt Thin"/>
        </w:rPr>
        <w:t>s</w:t>
      </w:r>
      <w:r>
        <w:rPr>
          <w:rFonts w:ascii="HelveticaNeueLT Std" w:eastAsia="HelveticaNeueLt Thin" w:hAnsi="HelveticaNeueLT Std" w:cs="HelveticaNeueLt Thin"/>
        </w:rPr>
        <w:t>.</w:t>
      </w:r>
    </w:p>
    <w:p w14:paraId="4B4CFD40" w14:textId="77FD3327" w:rsidR="003002AF" w:rsidRDefault="00ED6052" w:rsidP="00ED6052">
      <w:pPr>
        <w:spacing w:line="276" w:lineRule="auto"/>
        <w:rPr>
          <w:rFonts w:ascii="HelveticaNeueLT Std" w:eastAsia="HelveticaNeueLt Thin" w:hAnsi="HelveticaNeueLT Std" w:cs="HelveticaNeueLt Thin"/>
        </w:rPr>
      </w:pPr>
      <w:r w:rsidRPr="00E668A7">
        <w:rPr>
          <w:rFonts w:ascii="HelveticaNeueLT Std" w:eastAsia="HelveticaNeueLt Thin" w:hAnsi="HelveticaNeueLT Std" w:cs="HelveticaNeueLt Thin"/>
        </w:rPr>
        <w:t>The scope of the call includes, but is not limited to:</w:t>
      </w:r>
    </w:p>
    <w:p w14:paraId="40ECC699" w14:textId="7BC7D3CE" w:rsidR="00257EFB" w:rsidRPr="00322B60" w:rsidRDefault="00257EFB" w:rsidP="00257EFB">
      <w:pPr>
        <w:pStyle w:val="ListParagraph"/>
        <w:numPr>
          <w:ilvl w:val="0"/>
          <w:numId w:val="3"/>
        </w:numPr>
        <w:spacing w:line="276" w:lineRule="auto"/>
        <w:rPr>
          <w:rFonts w:ascii="HelveticaNeueLT Std" w:hAnsi="HelveticaNeueLT Std"/>
          <w:b/>
          <w:bCs/>
        </w:rPr>
      </w:pPr>
      <w:r w:rsidRPr="00322B60">
        <w:rPr>
          <w:rFonts w:ascii="HelveticaNeueLT Std" w:hAnsi="HelveticaNeueLT Std"/>
          <w:b/>
          <w:bCs/>
        </w:rPr>
        <w:t xml:space="preserve">Research which helps us to understand in greater depth </w:t>
      </w:r>
      <w:r w:rsidR="00454626" w:rsidRPr="00322B60">
        <w:rPr>
          <w:rFonts w:ascii="HelveticaNeueLT Std" w:hAnsi="HelveticaNeueLT Std"/>
          <w:b/>
          <w:bCs/>
        </w:rPr>
        <w:t>people’s experiences of multi</w:t>
      </w:r>
      <w:r w:rsidR="007A6000" w:rsidRPr="00322B60">
        <w:rPr>
          <w:rFonts w:ascii="HelveticaNeueLT Std" w:hAnsi="HelveticaNeueLT Std"/>
          <w:b/>
          <w:bCs/>
        </w:rPr>
        <w:t>-morbidity</w:t>
      </w:r>
      <w:r w:rsidR="005E00C8">
        <w:rPr>
          <w:rFonts w:ascii="HelveticaNeueLT Std" w:hAnsi="HelveticaNeueLT Std"/>
          <w:b/>
          <w:bCs/>
        </w:rPr>
        <w:t>, including the influence of the social determinants of health and health inequalities</w:t>
      </w:r>
      <w:r w:rsidR="00B365E0" w:rsidRPr="00322B60">
        <w:rPr>
          <w:rFonts w:ascii="HelveticaNeueLT Std" w:hAnsi="HelveticaNeueLT Std"/>
          <w:b/>
          <w:bCs/>
        </w:rPr>
        <w:t xml:space="preserve"> </w:t>
      </w:r>
      <w:r w:rsidR="00DD68B9">
        <w:rPr>
          <w:rFonts w:ascii="HelveticaNeueLT Std" w:hAnsi="HelveticaNeueLT Std"/>
          <w:b/>
          <w:bCs/>
        </w:rPr>
        <w:t xml:space="preserve">– </w:t>
      </w:r>
      <w:r w:rsidR="00DD68B9">
        <w:rPr>
          <w:rFonts w:ascii="HelveticaNeueLT Std" w:hAnsi="HelveticaNeueLT Std"/>
        </w:rPr>
        <w:t>e.g.</w:t>
      </w:r>
      <w:r w:rsidR="00F90631">
        <w:rPr>
          <w:rFonts w:ascii="HelveticaNeueLT Std" w:hAnsi="HelveticaNeueLT Std"/>
        </w:rPr>
        <w:t xml:space="preserve"> primary data collection, </w:t>
      </w:r>
      <w:r w:rsidR="00430189">
        <w:rPr>
          <w:rFonts w:ascii="HelveticaNeueLT Std" w:hAnsi="HelveticaNeueLT Std"/>
        </w:rPr>
        <w:t xml:space="preserve">action research/applied research, </w:t>
      </w:r>
      <w:r w:rsidR="00F90631">
        <w:rPr>
          <w:rFonts w:ascii="HelveticaNeueLT Std" w:hAnsi="HelveticaNeueLT Std"/>
        </w:rPr>
        <w:t>ethnography</w:t>
      </w:r>
      <w:r w:rsidR="00FF3C57">
        <w:rPr>
          <w:rFonts w:ascii="HelveticaNeueLT Std" w:hAnsi="HelveticaNeueLT Std"/>
        </w:rPr>
        <w:t xml:space="preserve"> and other types of qualitative research</w:t>
      </w:r>
    </w:p>
    <w:p w14:paraId="6B029103" w14:textId="4723CFA4" w:rsidR="00257EFB" w:rsidRPr="00DD430B" w:rsidRDefault="003621D7" w:rsidP="00257EFB">
      <w:pPr>
        <w:pStyle w:val="ListParagraph"/>
        <w:numPr>
          <w:ilvl w:val="0"/>
          <w:numId w:val="3"/>
        </w:numPr>
        <w:spacing w:line="276" w:lineRule="auto"/>
        <w:rPr>
          <w:rFonts w:ascii="HelveticaNeueLT Std" w:hAnsi="HelveticaNeueLT Std"/>
        </w:rPr>
      </w:pPr>
      <w:r w:rsidRPr="00DD68B9">
        <w:rPr>
          <w:rFonts w:ascii="HelveticaNeueLT Std" w:hAnsi="HelveticaNeueLT Std"/>
          <w:b/>
          <w:bCs/>
        </w:rPr>
        <w:t xml:space="preserve">Research which provides </w:t>
      </w:r>
      <w:r w:rsidR="00693C84" w:rsidRPr="00DD68B9">
        <w:rPr>
          <w:rFonts w:ascii="HelveticaNeueLT Std" w:hAnsi="HelveticaNeueLT Std"/>
          <w:b/>
          <w:bCs/>
        </w:rPr>
        <w:t xml:space="preserve">evidence about which interventions are effective </w:t>
      </w:r>
      <w:r w:rsidR="00CF0B74">
        <w:rPr>
          <w:rFonts w:ascii="HelveticaNeueLT Std" w:hAnsi="HelveticaNeueLT Std"/>
          <w:b/>
          <w:bCs/>
        </w:rPr>
        <w:t xml:space="preserve">(in terms of improving health outcomes) </w:t>
      </w:r>
      <w:r w:rsidR="00693C84" w:rsidRPr="00DD68B9">
        <w:rPr>
          <w:rFonts w:ascii="HelveticaNeueLT Std" w:hAnsi="HelveticaNeueLT Std"/>
          <w:b/>
          <w:bCs/>
        </w:rPr>
        <w:t>and for whom</w:t>
      </w:r>
      <w:r w:rsidR="00257EFB">
        <w:rPr>
          <w:rFonts w:ascii="HelveticaNeueLT Std" w:hAnsi="HelveticaNeueLT Std"/>
        </w:rPr>
        <w:t xml:space="preserve"> – e.g. Evaluative studies of interventions, </w:t>
      </w:r>
      <w:r w:rsidR="00257EFB">
        <w:rPr>
          <w:rFonts w:ascii="HelveticaNeueLT Std" w:eastAsia="HelveticaNeueLt Thin" w:hAnsi="HelveticaNeueLT Std" w:cs="HelveticaNeueLt Thin"/>
        </w:rPr>
        <w:t>Feasibility or Pilot studies</w:t>
      </w:r>
    </w:p>
    <w:p w14:paraId="43617D77" w14:textId="6106C9C2" w:rsidR="00ED6052" w:rsidRPr="005579C5" w:rsidRDefault="00CF0B74" w:rsidP="00ED6052">
      <w:pPr>
        <w:pStyle w:val="ListParagraph"/>
        <w:numPr>
          <w:ilvl w:val="0"/>
          <w:numId w:val="3"/>
        </w:numPr>
        <w:spacing w:line="276" w:lineRule="auto"/>
        <w:rPr>
          <w:rFonts w:ascii="HelveticaNeueLT Std" w:hAnsi="HelveticaNeueLT Std"/>
          <w:b/>
          <w:bCs/>
        </w:rPr>
      </w:pPr>
      <w:r>
        <w:rPr>
          <w:rFonts w:ascii="HelveticaNeueLT Std" w:hAnsi="HelveticaNeueLT Std"/>
          <w:b/>
          <w:bCs/>
        </w:rPr>
        <w:t>Research which gives us more insight into the progression of conditions</w:t>
      </w:r>
      <w:r>
        <w:rPr>
          <w:rFonts w:ascii="HelveticaNeueLT Std" w:hAnsi="HelveticaNeueLT Std"/>
        </w:rPr>
        <w:t xml:space="preserve"> – e.g. epidemiological studies</w:t>
      </w:r>
      <w:r w:rsidR="005579C5">
        <w:rPr>
          <w:rFonts w:ascii="HelveticaNeueLT Std" w:hAnsi="HelveticaNeueLT Std"/>
        </w:rPr>
        <w:t>, data linkage and analysis</w:t>
      </w:r>
    </w:p>
    <w:p w14:paraId="1683303A" w14:textId="049B8506" w:rsidR="00176D6F" w:rsidRPr="00C62EC0" w:rsidRDefault="00176D6F" w:rsidP="00176D6F">
      <w:pPr>
        <w:spacing w:after="0" w:line="276" w:lineRule="auto"/>
        <w:rPr>
          <w:rFonts w:ascii="HelveticaNeueLT Std" w:eastAsia="Helvetica Neue Thin" w:hAnsi="HelveticaNeueLT Std" w:cs="Helvetica Neue Thin"/>
        </w:rPr>
      </w:pPr>
      <w:r w:rsidRPr="00C62EC0">
        <w:rPr>
          <w:rFonts w:ascii="HelveticaNeueLT Std" w:eastAsia="Helvetica Neue Thin" w:hAnsi="HelveticaNeueLT Std" w:cs="Helvetica Neue Thin"/>
        </w:rPr>
        <w:t xml:space="preserve"> </w:t>
      </w:r>
      <w:bookmarkStart w:id="0" w:name="_GoBack"/>
      <w:bookmarkEnd w:id="0"/>
    </w:p>
    <w:p w14:paraId="79F755D6" w14:textId="77777777" w:rsidR="00025A07" w:rsidRPr="009F538E" w:rsidRDefault="00025A07" w:rsidP="00025A07">
      <w:pPr>
        <w:spacing w:line="276" w:lineRule="auto"/>
        <w:rPr>
          <w:rFonts w:ascii="HelveticaNeueLT Std" w:eastAsia="Helvetica Neue Thin" w:hAnsi="HelveticaNeueLT Std" w:cs="Helvetica Neue Thin"/>
          <w:b/>
          <w:bCs/>
        </w:rPr>
      </w:pPr>
      <w:proofErr w:type="gramStart"/>
      <w:r w:rsidRPr="009F538E">
        <w:rPr>
          <w:rFonts w:ascii="HelveticaNeueLT Std" w:eastAsia="Helvetica Neue Thin" w:hAnsi="HelveticaNeueLT Std" w:cs="Helvetica Neue Thin"/>
          <w:b/>
          <w:bCs/>
        </w:rPr>
        <w:t>Particular areas</w:t>
      </w:r>
      <w:proofErr w:type="gramEnd"/>
      <w:r w:rsidRPr="009F538E">
        <w:rPr>
          <w:rFonts w:ascii="HelveticaNeueLT Std" w:eastAsia="Helvetica Neue Thin" w:hAnsi="HelveticaNeueLT Std" w:cs="Helvetica Neue Thin"/>
          <w:b/>
          <w:bCs/>
        </w:rPr>
        <w:t xml:space="preserve"> of focus and interest for the Charity</w:t>
      </w:r>
    </w:p>
    <w:p w14:paraId="20A4F605" w14:textId="0B796124" w:rsidR="00025A07" w:rsidRDefault="00025A07" w:rsidP="00025A07">
      <w:pPr>
        <w:spacing w:line="276" w:lineRule="auto"/>
        <w:rPr>
          <w:rFonts w:ascii="HelveticaNeueLT Std" w:eastAsia="Helvetica Neue Thin" w:hAnsi="HelveticaNeueLT Std" w:cs="Helvetica Neue Thin"/>
        </w:rPr>
      </w:pPr>
      <w:r>
        <w:rPr>
          <w:rFonts w:ascii="HelveticaNeueLT Std" w:eastAsia="Helvetica Neue Thin" w:hAnsi="HelveticaNeueLT Std" w:cs="Helvetica Neue Thin"/>
        </w:rPr>
        <w:t>As our programme has matured</w:t>
      </w:r>
      <w:r w:rsidR="007602F2">
        <w:rPr>
          <w:rFonts w:ascii="HelveticaNeueLT Std" w:eastAsia="Helvetica Neue Thin" w:hAnsi="HelveticaNeueLT Std" w:cs="Helvetica Neue Thin"/>
        </w:rPr>
        <w:t>,</w:t>
      </w:r>
      <w:r>
        <w:rPr>
          <w:rFonts w:ascii="HelveticaNeueLT Std" w:eastAsia="Helvetica Neue Thin" w:hAnsi="HelveticaNeueLT Std" w:cs="Helvetica Neue Thin"/>
        </w:rPr>
        <w:t xml:space="preserve"> through working with local partners and </w:t>
      </w:r>
      <w:r w:rsidR="006B657A">
        <w:rPr>
          <w:rFonts w:ascii="HelveticaNeueLT Std" w:eastAsia="Helvetica Neue Thin" w:hAnsi="HelveticaNeueLT Std" w:cs="Helvetica Neue Thin"/>
        </w:rPr>
        <w:t>people living in our place</w:t>
      </w:r>
      <w:r>
        <w:rPr>
          <w:rFonts w:ascii="HelveticaNeueLT Std" w:eastAsia="Helvetica Neue Thin" w:hAnsi="HelveticaNeueLT Std" w:cs="Helvetica Neue Thin"/>
        </w:rPr>
        <w:t>, we have developed</w:t>
      </w:r>
      <w:r w:rsidR="007602F2">
        <w:rPr>
          <w:rFonts w:ascii="HelveticaNeueLT Std" w:eastAsia="Helvetica Neue Thin" w:hAnsi="HelveticaNeueLT Std" w:cs="Helvetica Neue Thin"/>
        </w:rPr>
        <w:t xml:space="preserve"> several</w:t>
      </w:r>
      <w:r>
        <w:rPr>
          <w:rFonts w:ascii="HelveticaNeueLT Std" w:eastAsia="Helvetica Neue Thin" w:hAnsi="HelveticaNeueLT Std" w:cs="Helvetica Neue Thin"/>
        </w:rPr>
        <w:t xml:space="preserve"> areas of interest. Our programme is evolving as we learn, so this list is not exhaustive, however we would be interested in any research submissions which explore the following:</w:t>
      </w:r>
    </w:p>
    <w:p w14:paraId="737EDA48" w14:textId="77777777" w:rsidR="00025A07" w:rsidRDefault="00025A07" w:rsidP="00025A0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25A07" w14:paraId="73E1E2CA" w14:textId="77777777" w:rsidTr="00A60365">
        <w:tc>
          <w:tcPr>
            <w:tcW w:w="9628" w:type="dxa"/>
            <w:gridSpan w:val="2"/>
          </w:tcPr>
          <w:p w14:paraId="6488EC66" w14:textId="77777777" w:rsidR="00025A07" w:rsidRPr="00F64691" w:rsidRDefault="00025A07" w:rsidP="00A60365">
            <w:pPr>
              <w:textAlignment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64691">
              <w:rPr>
                <w:rFonts w:ascii="Calibri" w:eastAsia="Times New Roman" w:hAnsi="Calibri" w:cs="Calibri"/>
                <w:b/>
                <w:bCs/>
                <w:lang w:eastAsia="en-GB"/>
              </w:rPr>
              <w:t>Wider determinants of he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al</w:t>
            </w:r>
            <w:r w:rsidRPr="00F64691">
              <w:rPr>
                <w:rFonts w:ascii="Calibri" w:eastAsia="Times New Roman" w:hAnsi="Calibri" w:cs="Calibri"/>
                <w:b/>
                <w:bCs/>
                <w:lang w:eastAsia="en-GB"/>
              </w:rPr>
              <w:t>th</w:t>
            </w:r>
          </w:p>
        </w:tc>
      </w:tr>
      <w:tr w:rsidR="00025A07" w14:paraId="04CE583E" w14:textId="77777777" w:rsidTr="00A60365">
        <w:tc>
          <w:tcPr>
            <w:tcW w:w="1696" w:type="dxa"/>
          </w:tcPr>
          <w:p w14:paraId="3BC64224" w14:textId="77777777" w:rsidR="00025A07" w:rsidRPr="007602F2" w:rsidRDefault="00025A07" w:rsidP="00A60365">
            <w:pPr>
              <w:textAlignment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602F2">
              <w:rPr>
                <w:rFonts w:ascii="Calibri" w:eastAsia="Times New Roman" w:hAnsi="Calibri" w:cs="Calibri"/>
                <w:b/>
                <w:bCs/>
                <w:lang w:eastAsia="en-GB"/>
              </w:rPr>
              <w:t>Employment</w:t>
            </w:r>
          </w:p>
        </w:tc>
        <w:tc>
          <w:tcPr>
            <w:tcW w:w="7932" w:type="dxa"/>
          </w:tcPr>
          <w:p w14:paraId="3FE42224" w14:textId="77777777" w:rsidR="00025A07" w:rsidRPr="00BC1BAB" w:rsidRDefault="00025A07" w:rsidP="00A60365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</w:t>
            </w:r>
            <w:r w:rsidRPr="00BC1BAB">
              <w:rPr>
                <w:rFonts w:ascii="Calibri" w:eastAsia="Times New Roman" w:hAnsi="Calibri" w:cs="Calibri"/>
                <w:lang w:eastAsia="en-GB"/>
              </w:rPr>
              <w:t>mployer health and wellbeing offers</w:t>
            </w:r>
          </w:p>
          <w:p w14:paraId="2DFE885C" w14:textId="77777777" w:rsidR="00025A07" w:rsidRPr="00BC1BAB" w:rsidRDefault="00025A07" w:rsidP="00A60365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</w:t>
            </w:r>
            <w:r w:rsidRPr="00BC1BAB">
              <w:rPr>
                <w:rFonts w:ascii="Calibri" w:eastAsia="Times New Roman" w:hAnsi="Calibri" w:cs="Calibri"/>
                <w:lang w:eastAsia="en-GB"/>
              </w:rPr>
              <w:t>lexible working, including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the</w:t>
            </w:r>
            <w:r w:rsidRPr="00BC1BAB">
              <w:rPr>
                <w:rFonts w:ascii="Calibri" w:eastAsia="Times New Roman" w:hAnsi="Calibri" w:cs="Calibri"/>
                <w:lang w:eastAsia="en-GB"/>
              </w:rPr>
              <w:t xml:space="preserve"> gig economy</w:t>
            </w:r>
          </w:p>
          <w:p w14:paraId="18C1FDA0" w14:textId="77777777" w:rsidR="00025A07" w:rsidRPr="00BC1BAB" w:rsidRDefault="00025A07" w:rsidP="00A60365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</w:t>
            </w:r>
            <w:r w:rsidRPr="00BC1BAB">
              <w:rPr>
                <w:rFonts w:ascii="Calibri" w:eastAsia="Times New Roman" w:hAnsi="Calibri" w:cs="Calibri"/>
                <w:lang w:eastAsia="en-GB"/>
              </w:rPr>
              <w:t>n work retraining</w:t>
            </w:r>
          </w:p>
          <w:p w14:paraId="652BB28C" w14:textId="77777777" w:rsidR="00025A07" w:rsidRPr="00BC1BAB" w:rsidRDefault="00025A07" w:rsidP="00A60365">
            <w:pPr>
              <w:rPr>
                <w:rFonts w:ascii="Calibri" w:eastAsia="Times New Roman" w:hAnsi="Calibri" w:cs="Calibri"/>
                <w:lang w:eastAsia="en-GB"/>
              </w:rPr>
            </w:pPr>
            <w:r w:rsidRPr="00BC1BAB">
              <w:rPr>
                <w:rFonts w:ascii="Calibri" w:eastAsia="Times New Roman" w:hAnsi="Calibri" w:cs="Calibri"/>
                <w:lang w:eastAsia="en-GB"/>
              </w:rPr>
              <w:t>Supporting people with LTCs into work</w:t>
            </w:r>
          </w:p>
          <w:p w14:paraId="3FB1AF14" w14:textId="77777777" w:rsidR="00025A07" w:rsidRDefault="00025A07" w:rsidP="00D242A3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BC1BAB">
              <w:rPr>
                <w:rFonts w:ascii="Calibri" w:eastAsia="Times New Roman" w:hAnsi="Calibri" w:cs="Calibri"/>
                <w:lang w:eastAsia="en-GB"/>
              </w:rPr>
              <w:t xml:space="preserve">Addressing people with LTCs employment needs in primary care </w:t>
            </w:r>
          </w:p>
          <w:p w14:paraId="7EBBC700" w14:textId="74997F33" w:rsidR="00D242A3" w:rsidRDefault="00D242A3" w:rsidP="00D242A3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25A07" w14:paraId="5D0EF51B" w14:textId="77777777" w:rsidTr="00A60365">
        <w:tc>
          <w:tcPr>
            <w:tcW w:w="1696" w:type="dxa"/>
          </w:tcPr>
          <w:p w14:paraId="7B1C0522" w14:textId="77777777" w:rsidR="00025A07" w:rsidRPr="007602F2" w:rsidRDefault="00025A07" w:rsidP="00A60365">
            <w:pPr>
              <w:textAlignment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602F2">
              <w:rPr>
                <w:rFonts w:ascii="Calibri" w:hAnsi="Calibri" w:cs="Calibri"/>
                <w:b/>
                <w:bCs/>
              </w:rPr>
              <w:t xml:space="preserve">Housing </w:t>
            </w:r>
          </w:p>
        </w:tc>
        <w:tc>
          <w:tcPr>
            <w:tcW w:w="7932" w:type="dxa"/>
          </w:tcPr>
          <w:p w14:paraId="7CFDD58B" w14:textId="77777777" w:rsidR="00025A07" w:rsidRDefault="00025A07" w:rsidP="00A60365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Security of housing</w:t>
            </w:r>
          </w:p>
          <w:p w14:paraId="0BEC176A" w14:textId="77777777" w:rsidR="00025A07" w:rsidRDefault="00025A07" w:rsidP="00D242A3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Experiences of control/agency in housing circumstances</w:t>
            </w:r>
          </w:p>
          <w:p w14:paraId="722052A2" w14:textId="1E966D4E" w:rsidR="00D242A3" w:rsidRDefault="00D242A3" w:rsidP="00D242A3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25A07" w14:paraId="7FC27D02" w14:textId="77777777" w:rsidTr="00A60365">
        <w:tc>
          <w:tcPr>
            <w:tcW w:w="1696" w:type="dxa"/>
          </w:tcPr>
          <w:p w14:paraId="21DDE826" w14:textId="77777777" w:rsidR="00025A07" w:rsidRPr="007602F2" w:rsidRDefault="00025A07" w:rsidP="00A60365">
            <w:pPr>
              <w:textAlignment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602F2">
              <w:rPr>
                <w:rFonts w:ascii="Calibri" w:eastAsia="Times New Roman" w:hAnsi="Calibri" w:cs="Calibri"/>
                <w:b/>
                <w:bCs/>
                <w:lang w:eastAsia="en-GB"/>
              </w:rPr>
              <w:t>Financial circumstances</w:t>
            </w:r>
          </w:p>
        </w:tc>
        <w:tc>
          <w:tcPr>
            <w:tcW w:w="7932" w:type="dxa"/>
          </w:tcPr>
          <w:p w14:paraId="591FBD64" w14:textId="77777777" w:rsidR="00025A07" w:rsidRPr="0076622C" w:rsidRDefault="00025A07" w:rsidP="00A60365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76622C">
              <w:rPr>
                <w:rFonts w:ascii="Calibri" w:eastAsia="Times New Roman" w:hAnsi="Calibri" w:cs="Calibri"/>
                <w:lang w:eastAsia="en-GB"/>
              </w:rPr>
              <w:t>Explor</w:t>
            </w:r>
            <w:r>
              <w:rPr>
                <w:rFonts w:ascii="Calibri" w:eastAsia="Times New Roman" w:hAnsi="Calibri" w:cs="Calibri"/>
                <w:lang w:eastAsia="en-GB"/>
              </w:rPr>
              <w:t>ing</w:t>
            </w:r>
            <w:r w:rsidRPr="0076622C">
              <w:rPr>
                <w:rFonts w:ascii="Calibri" w:eastAsia="Times New Roman" w:hAnsi="Calibri" w:cs="Calibri"/>
                <w:lang w:eastAsia="en-GB"/>
              </w:rPr>
              <w:t xml:space="preserve"> preventative approaches: pre-crisis, supporting long term behaviour change</w:t>
            </w:r>
          </w:p>
          <w:p w14:paraId="31B17906" w14:textId="77777777" w:rsidR="00025A07" w:rsidRDefault="00025A07" w:rsidP="00A60365">
            <w:pPr>
              <w:rPr>
                <w:rFonts w:ascii="Calibri" w:eastAsia="Times New Roman" w:hAnsi="Calibri" w:cs="Calibri"/>
                <w:lang w:eastAsia="en-GB"/>
              </w:rPr>
            </w:pPr>
            <w:r w:rsidRPr="00E07F10">
              <w:rPr>
                <w:rFonts w:ascii="Calibri" w:eastAsia="Times New Roman" w:hAnsi="Calibri" w:cs="Calibri"/>
                <w:lang w:eastAsia="en-GB"/>
              </w:rPr>
              <w:t xml:space="preserve">Cashflow management </w:t>
            </w:r>
          </w:p>
          <w:p w14:paraId="007CB0E7" w14:textId="77777777" w:rsidR="00025A07" w:rsidRDefault="00025A07" w:rsidP="00A60365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76622C">
              <w:rPr>
                <w:rFonts w:ascii="Calibri" w:eastAsia="Times New Roman" w:hAnsi="Calibri" w:cs="Calibri"/>
                <w:lang w:eastAsia="en-GB"/>
              </w:rPr>
              <w:t>Engag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ing </w:t>
            </w:r>
            <w:r w:rsidRPr="0076622C">
              <w:rPr>
                <w:rFonts w:ascii="Calibri" w:eastAsia="Times New Roman" w:hAnsi="Calibri" w:cs="Calibri"/>
                <w:lang w:eastAsia="en-GB"/>
              </w:rPr>
              <w:t>new environment owners outside primary financial health system (e.g. workplace, charities)</w:t>
            </w:r>
          </w:p>
          <w:p w14:paraId="06987360" w14:textId="77777777" w:rsidR="00025A07" w:rsidRDefault="00025A07" w:rsidP="00D242A3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Welfare benefits &amp; legal issues</w:t>
            </w:r>
          </w:p>
          <w:p w14:paraId="3FFD9ED1" w14:textId="7B4AFB52" w:rsidR="00D242A3" w:rsidRDefault="00D242A3" w:rsidP="00D242A3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603337D0" w14:textId="77777777" w:rsidR="002228B7" w:rsidRDefault="00222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50BE0" w14:paraId="019FB8C7" w14:textId="77777777" w:rsidTr="00A60365">
        <w:tc>
          <w:tcPr>
            <w:tcW w:w="1696" w:type="dxa"/>
          </w:tcPr>
          <w:p w14:paraId="5BBDC1ED" w14:textId="2D681C6B" w:rsidR="00450BE0" w:rsidRDefault="00450BE0" w:rsidP="00A60365">
            <w:pPr>
              <w:textAlignment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Healthcare</w:t>
            </w:r>
          </w:p>
          <w:p w14:paraId="493DAD05" w14:textId="77777777" w:rsidR="00450BE0" w:rsidRDefault="00450BE0" w:rsidP="00A60365">
            <w:pPr>
              <w:textAlignment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13C9A7FD" w14:textId="77777777" w:rsidR="00450BE0" w:rsidRDefault="00450BE0" w:rsidP="00A60365">
            <w:pPr>
              <w:textAlignment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525B5360" w14:textId="5E23859C" w:rsidR="00450BE0" w:rsidRPr="007602F2" w:rsidRDefault="00450BE0" w:rsidP="00A60365">
            <w:pPr>
              <w:textAlignment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932" w:type="dxa"/>
          </w:tcPr>
          <w:p w14:paraId="1C06DDC3" w14:textId="6DA69B7E" w:rsidR="00263B35" w:rsidRPr="00263B35" w:rsidRDefault="00263B35" w:rsidP="00263B35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263B35">
              <w:rPr>
                <w:rFonts w:ascii="Calibri" w:eastAsia="Times New Roman" w:hAnsi="Calibri" w:cs="Calibri"/>
                <w:lang w:eastAsia="en-GB"/>
              </w:rPr>
              <w:t>Improved early clinical care (incl</w:t>
            </w:r>
            <w:r w:rsidR="009E206A">
              <w:rPr>
                <w:rFonts w:ascii="Calibri" w:eastAsia="Times New Roman" w:hAnsi="Calibri" w:cs="Calibri"/>
                <w:lang w:eastAsia="en-GB"/>
              </w:rPr>
              <w:t>uding</w:t>
            </w:r>
            <w:r w:rsidRPr="00263B35">
              <w:rPr>
                <w:rFonts w:ascii="Calibri" w:eastAsia="Times New Roman" w:hAnsi="Calibri" w:cs="Calibri"/>
                <w:lang w:eastAsia="en-GB"/>
              </w:rPr>
              <w:t xml:space="preserve"> integration)</w:t>
            </w:r>
          </w:p>
          <w:p w14:paraId="4E7638C3" w14:textId="77777777" w:rsidR="00263B35" w:rsidRPr="00263B35" w:rsidRDefault="00263B35" w:rsidP="00263B35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263B35">
              <w:rPr>
                <w:rFonts w:ascii="Calibri" w:eastAsia="Times New Roman" w:hAnsi="Calibri" w:cs="Calibri"/>
                <w:lang w:eastAsia="en-GB"/>
              </w:rPr>
              <w:t>Improved self-managed care</w:t>
            </w:r>
          </w:p>
          <w:p w14:paraId="206AF451" w14:textId="77777777" w:rsidR="00450BE0" w:rsidRDefault="00263B35" w:rsidP="00263B35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263B35">
              <w:rPr>
                <w:rFonts w:ascii="Calibri" w:eastAsia="Times New Roman" w:hAnsi="Calibri" w:cs="Calibri"/>
                <w:lang w:eastAsia="en-GB"/>
              </w:rPr>
              <w:t xml:space="preserve">Reduce exposure to </w:t>
            </w:r>
            <w:r w:rsidR="00B4154F" w:rsidRPr="00263B35">
              <w:rPr>
                <w:rFonts w:ascii="Calibri" w:eastAsia="Times New Roman" w:hAnsi="Calibri" w:cs="Calibri"/>
                <w:lang w:eastAsia="en-GB"/>
              </w:rPr>
              <w:t>clinical</w:t>
            </w:r>
            <w:r w:rsidRPr="00263B35">
              <w:rPr>
                <w:rFonts w:ascii="Calibri" w:eastAsia="Times New Roman" w:hAnsi="Calibri" w:cs="Calibri"/>
                <w:lang w:eastAsia="en-GB"/>
              </w:rPr>
              <w:t xml:space="preserve"> and social risks</w:t>
            </w:r>
          </w:p>
          <w:p w14:paraId="1DB9EC2E" w14:textId="77777777" w:rsidR="00B4154F" w:rsidRDefault="00B4154F" w:rsidP="00263B35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149A619E" w14:textId="467DBCE4" w:rsidR="00B4154F" w:rsidRPr="0076622C" w:rsidRDefault="00B4154F" w:rsidP="00263B35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Focus on Diabetes and Chronic Pain as gateway conditions</w:t>
            </w:r>
          </w:p>
        </w:tc>
      </w:tr>
    </w:tbl>
    <w:p w14:paraId="11D622AE" w14:textId="77777777" w:rsidR="00025A07" w:rsidRDefault="00025A07" w:rsidP="00025A07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020E958F" w14:textId="77777777" w:rsidR="00176D6F" w:rsidRDefault="00176D6F" w:rsidP="51EC1EE2">
      <w:pPr>
        <w:spacing w:after="100" w:line="276" w:lineRule="auto"/>
        <w:rPr>
          <w:rFonts w:ascii="HelveticaNeueLT Std" w:eastAsia="HelveticaNeueLt Thin" w:hAnsi="HelveticaNeueLT Std" w:cs="HelveticaNeueLt Thin"/>
        </w:rPr>
      </w:pPr>
    </w:p>
    <w:p w14:paraId="49379F12" w14:textId="4AEF3BB4" w:rsidR="7692893D" w:rsidRPr="00E668A7" w:rsidRDefault="51EC1EE2" w:rsidP="51EC1EE2">
      <w:pPr>
        <w:spacing w:after="100"/>
        <w:rPr>
          <w:rFonts w:ascii="HelveticaNeueLT Std" w:eastAsia="HelveticaNeueLt Thin" w:hAnsi="HelveticaNeueLT Std" w:cs="HelveticaNeueLt Thin"/>
          <w:b/>
          <w:bCs/>
          <w:color w:val="551F75"/>
          <w:sz w:val="28"/>
          <w:szCs w:val="28"/>
        </w:rPr>
      </w:pPr>
      <w:r w:rsidRPr="00E668A7">
        <w:rPr>
          <w:rFonts w:ascii="HelveticaNeueLT Std" w:eastAsia="HelveticaNeueLt Thin" w:hAnsi="HelveticaNeueLT Std" w:cs="HelveticaNeueLt Thin"/>
          <w:b/>
          <w:bCs/>
          <w:color w:val="551F75"/>
          <w:sz w:val="28"/>
          <w:szCs w:val="28"/>
        </w:rPr>
        <w:lastRenderedPageBreak/>
        <w:t>Eligibility</w:t>
      </w:r>
    </w:p>
    <w:p w14:paraId="0429407C" w14:textId="2B760576" w:rsidR="00AF3AF6" w:rsidRPr="00E668A7" w:rsidRDefault="51EC1EE2" w:rsidP="51EC1EE2">
      <w:pPr>
        <w:spacing w:after="100" w:line="276" w:lineRule="auto"/>
        <w:rPr>
          <w:rFonts w:ascii="HelveticaNeueLT Std" w:eastAsia="HelveticaNeueLt Thin" w:hAnsi="HelveticaNeueLT Std" w:cs="HelveticaNeueLt Thin"/>
        </w:rPr>
      </w:pPr>
      <w:r w:rsidRPr="00E668A7">
        <w:rPr>
          <w:rFonts w:ascii="HelveticaNeueLT Std" w:eastAsia="HelveticaNeueLt Thin" w:hAnsi="HelveticaNeueLT Std" w:cs="HelveticaNeueLt Thin"/>
        </w:rPr>
        <w:t xml:space="preserve">The principal investigator must be an employee of a partner organisation of King’s Health Partners (King’s College London; King’s College Hospital NHS Foundation Trust; South London and Maudsley NHS Foundation Trust; and Guy’s and St </w:t>
      </w:r>
      <w:proofErr w:type="spellStart"/>
      <w:r w:rsidRPr="00E668A7">
        <w:rPr>
          <w:rFonts w:ascii="HelveticaNeueLT Std" w:eastAsia="HelveticaNeueLt Thin" w:hAnsi="HelveticaNeueLT Std" w:cs="HelveticaNeueLt Thin"/>
        </w:rPr>
        <w:t>Thomas’</w:t>
      </w:r>
      <w:proofErr w:type="spellEnd"/>
      <w:r w:rsidRPr="00E668A7">
        <w:rPr>
          <w:rFonts w:ascii="HelveticaNeueLT Std" w:eastAsia="HelveticaNeueLt Thin" w:hAnsi="HelveticaNeueLT Std" w:cs="HelveticaNeueLt Thin"/>
        </w:rPr>
        <w:t xml:space="preserve"> NHS Foundation Trust).</w:t>
      </w:r>
    </w:p>
    <w:p w14:paraId="3D9B9496" w14:textId="0C3F9F2E" w:rsidR="00AF3AF6" w:rsidRPr="00E668A7" w:rsidRDefault="51EC1EE2" w:rsidP="000055D1">
      <w:pPr>
        <w:spacing w:line="276" w:lineRule="auto"/>
        <w:rPr>
          <w:rFonts w:ascii="HelveticaNeueLT Std" w:eastAsia="HelveticaNeueLt Thin" w:hAnsi="HelveticaNeueLT Std" w:cs="HelveticaNeueLt Thin"/>
        </w:rPr>
      </w:pPr>
      <w:r w:rsidRPr="00E668A7">
        <w:rPr>
          <w:rFonts w:ascii="HelveticaNeueLT Std" w:eastAsia="HelveticaNeueLt Thin" w:hAnsi="HelveticaNeueLT Std" w:cs="HelveticaNeueLt Thin"/>
        </w:rPr>
        <w:t xml:space="preserve">The Multiple Long-Term Conditions Challenge Fund encourages collaboration with partners outside of KHP, where this provides value to the research. </w:t>
      </w:r>
      <w:r w:rsidR="00C8731E">
        <w:rPr>
          <w:rFonts w:ascii="HelveticaNeueLT Std" w:eastAsia="HelveticaNeueLt Thin" w:hAnsi="HelveticaNeueLT Std" w:cs="HelveticaNeueLt Thin"/>
        </w:rPr>
        <w:t>We strongly encourage partnerships with practitioners in our place</w:t>
      </w:r>
      <w:r w:rsidR="00B1129D">
        <w:rPr>
          <w:rFonts w:ascii="HelveticaNeueLT Std" w:eastAsia="HelveticaNeueLt Thin" w:hAnsi="HelveticaNeueLT Std" w:cs="HelveticaNeueLt Thin"/>
        </w:rPr>
        <w:t xml:space="preserve"> </w:t>
      </w:r>
      <w:r w:rsidR="000055D1">
        <w:rPr>
          <w:rFonts w:ascii="HelveticaNeueLT Std" w:eastAsia="HelveticaNeueLt Thin" w:hAnsi="HelveticaNeueLT Std" w:cs="HelveticaNeueLt Thin"/>
        </w:rPr>
        <w:t xml:space="preserve">who </w:t>
      </w:r>
      <w:r w:rsidRPr="00E668A7">
        <w:rPr>
          <w:rFonts w:ascii="HelveticaNeueLT Std" w:eastAsia="HelveticaNeueLt Thin" w:hAnsi="HelveticaNeueLT Std" w:cs="HelveticaNeueLt Thin"/>
        </w:rPr>
        <w:t xml:space="preserve">seek impact </w:t>
      </w:r>
      <w:r w:rsidR="00214AC9">
        <w:rPr>
          <w:rFonts w:ascii="HelveticaNeueLT Std" w:eastAsia="HelveticaNeueLt Thin" w:hAnsi="HelveticaNeueLT Std" w:cs="HelveticaNeueLt Thin"/>
        </w:rPr>
        <w:t>i</w:t>
      </w:r>
      <w:r w:rsidRPr="00E668A7">
        <w:rPr>
          <w:rFonts w:ascii="HelveticaNeueLT Std" w:eastAsia="HelveticaNeueLt Thin" w:hAnsi="HelveticaNeueLT Std" w:cs="HelveticaNeueLt Thin"/>
        </w:rPr>
        <w:t xml:space="preserve">n </w:t>
      </w:r>
      <w:r w:rsidR="00214AC9">
        <w:rPr>
          <w:rFonts w:ascii="HelveticaNeueLT Std" w:eastAsia="HelveticaNeueLt Thin" w:hAnsi="HelveticaNeueLT Std" w:cs="HelveticaNeueLt Thin"/>
        </w:rPr>
        <w:t xml:space="preserve">our </w:t>
      </w:r>
      <w:r w:rsidRPr="00E668A7">
        <w:rPr>
          <w:rFonts w:ascii="HelveticaNeueLT Std" w:eastAsia="HelveticaNeueLt Thin" w:hAnsi="HelveticaNeueLT Std" w:cs="HelveticaNeueLt Thin"/>
        </w:rPr>
        <w:t>local communities. Applications must be led by a researcher within KHP but can collaborate more widely. For example, where additional relevant expertise and data is available externally, applications should consider including co-investigators or collaborators who can provide this. Funds can be used to cover the directly incurred costs of such collaborators where necessary and should be included in the budget.</w:t>
      </w:r>
    </w:p>
    <w:p w14:paraId="5D00447B" w14:textId="68FF9E23" w:rsidR="00AF3AF6" w:rsidRPr="00E668A7" w:rsidRDefault="51EC1EE2" w:rsidP="51EC1EE2">
      <w:pPr>
        <w:spacing w:after="0" w:line="276" w:lineRule="auto"/>
        <w:rPr>
          <w:rFonts w:ascii="HelveticaNeueLT Std" w:eastAsia="HelveticaNeueLt Thin" w:hAnsi="HelveticaNeueLT Std" w:cs="HelveticaNeueLt Thin"/>
        </w:rPr>
      </w:pPr>
      <w:r w:rsidRPr="00E668A7">
        <w:rPr>
          <w:rFonts w:ascii="HelveticaNeueLT Std" w:eastAsia="HelveticaNeueLt Thin" w:hAnsi="HelveticaNeueLT Std" w:cs="HelveticaNeueLt Thin"/>
        </w:rPr>
        <w:t xml:space="preserve">External researchers interested in collaborating in this scheme should contact the relevant researchers within KHP. For those who do not have a collaborator within KHP but are interested in making contact, please contact </w:t>
      </w:r>
      <w:hyperlink r:id="rId14">
        <w:r w:rsidRPr="00E668A7">
          <w:rPr>
            <w:rStyle w:val="Hyperlink"/>
            <w:rFonts w:ascii="HelveticaNeueLT Std" w:eastAsia="HelveticaNeueLt Thin" w:hAnsi="HelveticaNeueLT Std" w:cs="HelveticaNeueLt Thin"/>
          </w:rPr>
          <w:t>khpresearchoffice@kcl.ac.uk</w:t>
        </w:r>
      </w:hyperlink>
      <w:r w:rsidRPr="00E668A7">
        <w:rPr>
          <w:rFonts w:ascii="HelveticaNeueLT Std" w:eastAsia="HelveticaNeueLt Thin" w:hAnsi="HelveticaNeueLT Std" w:cs="HelveticaNeueLt Thin"/>
        </w:rPr>
        <w:t xml:space="preserve"> with a description of your research interests, CV and expertise/ access to patients/ data and any other resources which may be relevant. We will then pass your details on to relevant researchers within KHP who may wish to discuss the opportunity for collaboration.</w:t>
      </w:r>
    </w:p>
    <w:p w14:paraId="152C7122" w14:textId="0D3801EC" w:rsidR="7692893D" w:rsidRPr="00E668A7" w:rsidRDefault="7692893D" w:rsidP="51EC1EE2">
      <w:pPr>
        <w:spacing w:after="0" w:line="240" w:lineRule="auto"/>
        <w:rPr>
          <w:rFonts w:ascii="HelveticaNeueLT Std" w:eastAsia="HelveticaNeueLt Thin" w:hAnsi="HelveticaNeueLT Std" w:cs="HelveticaNeueLt Thin"/>
          <w:b/>
          <w:bCs/>
          <w:color w:val="551F75"/>
          <w:sz w:val="32"/>
          <w:szCs w:val="32"/>
        </w:rPr>
      </w:pPr>
    </w:p>
    <w:p w14:paraId="61A59B90" w14:textId="22BDDD55" w:rsidR="7692893D" w:rsidRPr="00E668A7" w:rsidRDefault="51EC1EE2" w:rsidP="51EC1EE2">
      <w:pPr>
        <w:spacing w:after="100" w:line="240" w:lineRule="auto"/>
        <w:rPr>
          <w:rFonts w:ascii="HelveticaNeueLT Std" w:eastAsia="HelveticaNeueLt Thin" w:hAnsi="HelveticaNeueLT Std" w:cs="HelveticaNeueLt Thin"/>
          <w:b/>
          <w:bCs/>
          <w:color w:val="551F75"/>
          <w:sz w:val="28"/>
          <w:szCs w:val="28"/>
        </w:rPr>
      </w:pPr>
      <w:r w:rsidRPr="00E668A7">
        <w:rPr>
          <w:rFonts w:ascii="HelveticaNeueLT Std" w:eastAsia="HelveticaNeueLt Thin" w:hAnsi="HelveticaNeueLT Std" w:cs="HelveticaNeueLt Thin"/>
          <w:b/>
          <w:bCs/>
          <w:color w:val="551F75"/>
          <w:sz w:val="28"/>
          <w:szCs w:val="28"/>
        </w:rPr>
        <w:t>Funding Available</w:t>
      </w:r>
    </w:p>
    <w:p w14:paraId="411AE105" w14:textId="77777777" w:rsidR="00C014A5" w:rsidRDefault="00C014A5" w:rsidP="00C014A5">
      <w:pPr>
        <w:rPr>
          <w:rFonts w:ascii="Arial" w:hAnsi="Arial" w:cs="Arial"/>
        </w:rPr>
      </w:pPr>
      <w:r>
        <w:rPr>
          <w:rFonts w:ascii="Arial" w:hAnsi="Arial" w:cs="Arial"/>
        </w:rPr>
        <w:t>Call one and two have concluded with 7 projects funded (</w:t>
      </w:r>
      <w:hyperlink r:id="rId15" w:history="1">
        <w:r w:rsidRPr="00362AE6">
          <w:rPr>
            <w:rStyle w:val="Hyperlink"/>
            <w:rFonts w:ascii="Arial" w:hAnsi="Arial" w:cs="Arial"/>
          </w:rPr>
          <w:t>https://www.gsttcharity.org.uk/get-involved/news-and-opinion/news/seven-new-projects-explore-long-term-conditions-urban-places</w:t>
        </w:r>
      </w:hyperlink>
      <w:r>
        <w:rPr>
          <w:rFonts w:ascii="Arial" w:hAnsi="Arial" w:cs="Arial"/>
        </w:rPr>
        <w:t xml:space="preserve"> ) . </w:t>
      </w:r>
    </w:p>
    <w:p w14:paraId="3F374679" w14:textId="77777777" w:rsidR="00C014A5" w:rsidRDefault="00C014A5" w:rsidP="00C014A5">
      <w:pPr>
        <w:rPr>
          <w:rFonts w:ascii="Arial" w:hAnsi="Arial" w:cs="Arial"/>
        </w:rPr>
      </w:pPr>
      <w:r>
        <w:rPr>
          <w:rFonts w:ascii="Arial" w:hAnsi="Arial" w:cs="Arial"/>
        </w:rPr>
        <w:t>We are pleased to launch a third call for projects. For round 3 we have £700K available to award. Projects can be up to £175K with a maximum duration of 24 months. We welcome projects of smaller value or duration where appropriate.</w:t>
      </w:r>
    </w:p>
    <w:p w14:paraId="0F242082" w14:textId="02ADC0BB" w:rsidR="00AF3AF6" w:rsidRPr="00E668A7" w:rsidRDefault="00AF3AF6" w:rsidP="51EC1EE2">
      <w:pPr>
        <w:spacing w:after="0" w:line="276" w:lineRule="auto"/>
        <w:rPr>
          <w:rFonts w:ascii="HelveticaNeueLT Std" w:eastAsia="HelveticaNeueLt Thin" w:hAnsi="HelveticaNeueLT Std" w:cs="HelveticaNeueLt Thin"/>
        </w:rPr>
      </w:pPr>
    </w:p>
    <w:p w14:paraId="2C9B1633" w14:textId="076647DF" w:rsidR="00AF3AF6" w:rsidRPr="00E668A7" w:rsidRDefault="51EC1EE2" w:rsidP="00AF3AF6">
      <w:pPr>
        <w:rPr>
          <w:rFonts w:ascii="HelveticaNeueLT Std" w:hAnsi="HelveticaNeueLT Std"/>
        </w:rPr>
      </w:pPr>
      <w:r w:rsidRPr="00E668A7">
        <w:rPr>
          <w:rFonts w:ascii="HelveticaNeueLT Std" w:eastAsia="HelveticaNeueLt Thin" w:hAnsi="HelveticaNeueLT Std" w:cs="HelveticaNeueLt Thin"/>
          <w:b/>
          <w:bCs/>
          <w:color w:val="551F75"/>
          <w:sz w:val="28"/>
          <w:szCs w:val="28"/>
        </w:rPr>
        <w:t>Key Dates</w:t>
      </w:r>
    </w:p>
    <w:p w14:paraId="180A04A6" w14:textId="2A65B9A6" w:rsidR="000A2023" w:rsidRDefault="000A2023" w:rsidP="00F90E7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1519"/>
        <w:gridCol w:w="1637"/>
        <w:gridCol w:w="1634"/>
        <w:gridCol w:w="1622"/>
        <w:gridCol w:w="1072"/>
        <w:gridCol w:w="1231"/>
      </w:tblGrid>
      <w:tr w:rsidR="0093023F" w:rsidRPr="00EB266D" w14:paraId="76FF4E48" w14:textId="77777777" w:rsidTr="00C014A5">
        <w:tc>
          <w:tcPr>
            <w:tcW w:w="913" w:type="dxa"/>
          </w:tcPr>
          <w:p w14:paraId="78B15452" w14:textId="77777777" w:rsidR="0093023F" w:rsidRPr="00EB266D" w:rsidRDefault="0093023F" w:rsidP="002D7DA9">
            <w:pPr>
              <w:rPr>
                <w:rFonts w:ascii="Arial" w:hAnsi="Arial" w:cs="Arial"/>
                <w:b/>
              </w:rPr>
            </w:pPr>
            <w:r w:rsidRPr="00EB266D">
              <w:rPr>
                <w:rFonts w:ascii="Arial" w:hAnsi="Arial" w:cs="Arial"/>
                <w:b/>
              </w:rPr>
              <w:t>Round</w:t>
            </w:r>
          </w:p>
        </w:tc>
        <w:tc>
          <w:tcPr>
            <w:tcW w:w="1519" w:type="dxa"/>
          </w:tcPr>
          <w:p w14:paraId="45FCD08A" w14:textId="77777777" w:rsidR="0093023F" w:rsidRPr="00EB266D" w:rsidRDefault="0093023F" w:rsidP="002D7DA9">
            <w:pPr>
              <w:rPr>
                <w:rFonts w:ascii="Arial" w:hAnsi="Arial" w:cs="Arial"/>
                <w:b/>
              </w:rPr>
            </w:pPr>
            <w:r w:rsidRPr="00EB266D">
              <w:rPr>
                <w:rFonts w:ascii="Arial" w:hAnsi="Arial" w:cs="Arial"/>
                <w:b/>
              </w:rPr>
              <w:t>Call opens</w:t>
            </w:r>
          </w:p>
        </w:tc>
        <w:tc>
          <w:tcPr>
            <w:tcW w:w="1637" w:type="dxa"/>
          </w:tcPr>
          <w:p w14:paraId="0ED916A0" w14:textId="77777777" w:rsidR="0093023F" w:rsidRPr="00EB266D" w:rsidRDefault="0093023F" w:rsidP="002D7DA9">
            <w:pPr>
              <w:rPr>
                <w:rFonts w:ascii="Arial" w:hAnsi="Arial" w:cs="Arial"/>
                <w:b/>
              </w:rPr>
            </w:pPr>
            <w:r w:rsidRPr="00EB266D">
              <w:rPr>
                <w:rFonts w:ascii="Arial" w:hAnsi="Arial" w:cs="Arial"/>
                <w:b/>
              </w:rPr>
              <w:t>Submission Deadline</w:t>
            </w:r>
          </w:p>
        </w:tc>
        <w:tc>
          <w:tcPr>
            <w:tcW w:w="1634" w:type="dxa"/>
          </w:tcPr>
          <w:p w14:paraId="3945BF75" w14:textId="77777777" w:rsidR="0093023F" w:rsidRPr="00EB266D" w:rsidRDefault="0093023F" w:rsidP="002D7DA9">
            <w:pPr>
              <w:rPr>
                <w:rFonts w:ascii="Arial" w:hAnsi="Arial" w:cs="Arial"/>
                <w:b/>
              </w:rPr>
            </w:pPr>
            <w:r w:rsidRPr="00EB266D">
              <w:rPr>
                <w:rFonts w:ascii="Arial" w:hAnsi="Arial" w:cs="Arial"/>
                <w:b/>
              </w:rPr>
              <w:t>Panel Meeting</w:t>
            </w:r>
          </w:p>
        </w:tc>
        <w:tc>
          <w:tcPr>
            <w:tcW w:w="1622" w:type="dxa"/>
          </w:tcPr>
          <w:p w14:paraId="43CEC259" w14:textId="77777777" w:rsidR="0093023F" w:rsidRPr="00EB266D" w:rsidRDefault="0093023F" w:rsidP="002D7DA9">
            <w:pPr>
              <w:rPr>
                <w:rFonts w:ascii="Arial" w:hAnsi="Arial" w:cs="Arial"/>
                <w:b/>
              </w:rPr>
            </w:pPr>
            <w:r w:rsidRPr="00EB266D">
              <w:rPr>
                <w:rFonts w:ascii="Arial" w:hAnsi="Arial" w:cs="Arial"/>
                <w:b/>
              </w:rPr>
              <w:t>Projects start by</w:t>
            </w:r>
          </w:p>
        </w:tc>
        <w:tc>
          <w:tcPr>
            <w:tcW w:w="1072" w:type="dxa"/>
          </w:tcPr>
          <w:p w14:paraId="6E0297D0" w14:textId="77777777" w:rsidR="0093023F" w:rsidRPr="00EB266D" w:rsidRDefault="0093023F" w:rsidP="002D7D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Mid-point learning event*</w:t>
            </w:r>
          </w:p>
        </w:tc>
        <w:tc>
          <w:tcPr>
            <w:tcW w:w="1231" w:type="dxa"/>
          </w:tcPr>
          <w:p w14:paraId="7486EB57" w14:textId="77777777" w:rsidR="0093023F" w:rsidRPr="00EB266D" w:rsidRDefault="0093023F" w:rsidP="002D7DA9">
            <w:pPr>
              <w:rPr>
                <w:rFonts w:ascii="Arial" w:hAnsi="Arial" w:cs="Arial"/>
                <w:b/>
              </w:rPr>
            </w:pPr>
            <w:r w:rsidRPr="00EB266D">
              <w:rPr>
                <w:rFonts w:ascii="Arial" w:hAnsi="Arial" w:cs="Arial"/>
                <w:b/>
              </w:rPr>
              <w:t>Maximum Project Duration</w:t>
            </w:r>
          </w:p>
        </w:tc>
      </w:tr>
      <w:tr w:rsidR="00C014A5" w:rsidRPr="00EB266D" w14:paraId="0F70D9B0" w14:textId="77777777" w:rsidTr="00E622EF">
        <w:tc>
          <w:tcPr>
            <w:tcW w:w="913" w:type="dxa"/>
            <w:shd w:val="clear" w:color="auto" w:fill="auto"/>
          </w:tcPr>
          <w:p w14:paraId="21A1B934" w14:textId="53DBC8F0" w:rsidR="00C014A5" w:rsidRPr="00EB266D" w:rsidRDefault="00C014A5" w:rsidP="00C01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544AC952" w14:textId="31B87D00" w:rsidR="00C014A5" w:rsidRDefault="00C014A5" w:rsidP="00C01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2020</w:t>
            </w:r>
          </w:p>
        </w:tc>
        <w:tc>
          <w:tcPr>
            <w:tcW w:w="1637" w:type="dxa"/>
            <w:shd w:val="clear" w:color="auto" w:fill="auto"/>
          </w:tcPr>
          <w:p w14:paraId="541A28ED" w14:textId="0DA0435E" w:rsidR="00C014A5" w:rsidRDefault="00C014A5" w:rsidP="00C01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5pm on 11th May 2020</w:t>
            </w:r>
          </w:p>
        </w:tc>
        <w:tc>
          <w:tcPr>
            <w:tcW w:w="1634" w:type="dxa"/>
            <w:shd w:val="clear" w:color="auto" w:fill="auto"/>
          </w:tcPr>
          <w:p w14:paraId="0AA0F9A5" w14:textId="584522DF" w:rsidR="00C014A5" w:rsidRPr="00EB266D" w:rsidRDefault="00C014A5" w:rsidP="00C01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2020</w:t>
            </w:r>
          </w:p>
        </w:tc>
        <w:tc>
          <w:tcPr>
            <w:tcW w:w="1622" w:type="dxa"/>
            <w:shd w:val="clear" w:color="auto" w:fill="auto"/>
          </w:tcPr>
          <w:p w14:paraId="5C95F7D8" w14:textId="6F57A7EA" w:rsidR="00C014A5" w:rsidRDefault="00C014A5" w:rsidP="00C01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Within 3-6 months of outcome</w:t>
            </w:r>
          </w:p>
        </w:tc>
        <w:tc>
          <w:tcPr>
            <w:tcW w:w="1072" w:type="dxa"/>
            <w:shd w:val="clear" w:color="auto" w:fill="auto"/>
          </w:tcPr>
          <w:p w14:paraId="00520F8F" w14:textId="2BC06E44" w:rsidR="00C014A5" w:rsidDel="00C014A5" w:rsidRDefault="00C014A5" w:rsidP="00C01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2021</w:t>
            </w:r>
          </w:p>
        </w:tc>
        <w:tc>
          <w:tcPr>
            <w:tcW w:w="1231" w:type="dxa"/>
            <w:shd w:val="clear" w:color="auto" w:fill="auto"/>
          </w:tcPr>
          <w:p w14:paraId="672B9E9D" w14:textId="57D544E2" w:rsidR="00C014A5" w:rsidRDefault="00C014A5" w:rsidP="00C01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months</w:t>
            </w:r>
          </w:p>
        </w:tc>
      </w:tr>
    </w:tbl>
    <w:p w14:paraId="1B8FDA2B" w14:textId="062D70F2" w:rsidR="00F311F2" w:rsidRDefault="00F311F2" w:rsidP="00E622EF">
      <w:pPr>
        <w:rPr>
          <w:rFonts w:ascii="Arial" w:hAnsi="Arial" w:cs="Arial"/>
        </w:rPr>
      </w:pPr>
    </w:p>
    <w:sectPr w:rsidR="00F311F2" w:rsidSect="00A07C26">
      <w:headerReference w:type="default" r:id="rId16"/>
      <w:footerReference w:type="default" r:id="rId17"/>
      <w:headerReference w:type="first" r:id="rId1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828F7" w14:textId="77777777" w:rsidR="000631B9" w:rsidRDefault="000631B9" w:rsidP="00AC549D">
      <w:pPr>
        <w:spacing w:after="0" w:line="240" w:lineRule="auto"/>
      </w:pPr>
      <w:r>
        <w:separator/>
      </w:r>
    </w:p>
  </w:endnote>
  <w:endnote w:type="continuationSeparator" w:id="0">
    <w:p w14:paraId="2F3D4EE8" w14:textId="77777777" w:rsidR="000631B9" w:rsidRDefault="000631B9" w:rsidP="00AC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Thi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7692893D" w14:paraId="4ECE5A1C" w14:textId="77777777" w:rsidTr="51EC1EE2">
      <w:tc>
        <w:tcPr>
          <w:tcW w:w="3213" w:type="dxa"/>
        </w:tcPr>
        <w:p w14:paraId="04E7E674" w14:textId="2A4046DC" w:rsidR="7692893D" w:rsidRDefault="7692893D" w:rsidP="7692893D">
          <w:pPr>
            <w:pStyle w:val="Header"/>
            <w:ind w:left="-115"/>
          </w:pPr>
        </w:p>
      </w:tc>
      <w:tc>
        <w:tcPr>
          <w:tcW w:w="3213" w:type="dxa"/>
        </w:tcPr>
        <w:p w14:paraId="3A39F82D" w14:textId="65F63DF3" w:rsidR="7692893D" w:rsidRDefault="7692893D" w:rsidP="7692893D">
          <w:pPr>
            <w:pStyle w:val="Header"/>
            <w:jc w:val="center"/>
          </w:pPr>
        </w:p>
      </w:tc>
      <w:tc>
        <w:tcPr>
          <w:tcW w:w="3213" w:type="dxa"/>
        </w:tcPr>
        <w:p w14:paraId="1804BE10" w14:textId="1BCE29AC" w:rsidR="7692893D" w:rsidRDefault="7692893D" w:rsidP="7692893D">
          <w:pPr>
            <w:pStyle w:val="Header"/>
            <w:ind w:right="-115"/>
            <w:jc w:val="right"/>
          </w:pPr>
        </w:p>
      </w:tc>
    </w:tr>
  </w:tbl>
  <w:p w14:paraId="031F5871" w14:textId="102A81C4" w:rsidR="7692893D" w:rsidRDefault="7692893D" w:rsidP="76928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CD3E3" w14:textId="77777777" w:rsidR="000631B9" w:rsidRDefault="000631B9" w:rsidP="00AC549D">
      <w:pPr>
        <w:spacing w:after="0" w:line="240" w:lineRule="auto"/>
      </w:pPr>
      <w:r>
        <w:separator/>
      </w:r>
    </w:p>
  </w:footnote>
  <w:footnote w:type="continuationSeparator" w:id="0">
    <w:p w14:paraId="60041132" w14:textId="77777777" w:rsidR="000631B9" w:rsidRDefault="000631B9" w:rsidP="00AC549D">
      <w:pPr>
        <w:spacing w:after="0" w:line="240" w:lineRule="auto"/>
      </w:pPr>
      <w:r>
        <w:continuationSeparator/>
      </w:r>
    </w:p>
  </w:footnote>
  <w:footnote w:id="1">
    <w:p w14:paraId="0F2D5421" w14:textId="55FE190F" w:rsidR="00AF3AF6" w:rsidRPr="00151E0A" w:rsidRDefault="00AF3AF6" w:rsidP="00AF3AF6">
      <w:pPr>
        <w:pStyle w:val="FootnoteText"/>
        <w:rPr>
          <w:rFonts w:cstheme="minorHAnsi"/>
        </w:rPr>
      </w:pPr>
      <w:r w:rsidRPr="00151E0A">
        <w:rPr>
          <w:rStyle w:val="FootnoteReference"/>
          <w:rFonts w:cstheme="minorHAnsi"/>
        </w:rPr>
        <w:footnoteRef/>
      </w:r>
      <w:r w:rsidRPr="00151E0A">
        <w:rPr>
          <w:rFonts w:cstheme="minorHAnsi"/>
        </w:rPr>
        <w:t xml:space="preserve"> Guy’s &amp; St Thomas’ Charity, From one to many - Exploring people’s progression to multiple long-term conditions in an urban environment, 2018. </w:t>
      </w:r>
      <w:hyperlink r:id="rId1" w:history="1">
        <w:r w:rsidRPr="00151E0A">
          <w:rPr>
            <w:rStyle w:val="Hyperlink"/>
            <w:rFonts w:cstheme="minorHAnsi"/>
          </w:rPr>
          <w:t>https://www.gsttcharity.org.uk/sites/default/files/GSTTC_MLTC_Report_2018.pdf</w:t>
        </w:r>
      </w:hyperlink>
    </w:p>
  </w:footnote>
  <w:footnote w:id="2">
    <w:p w14:paraId="48A0856B" w14:textId="6D0E39EC" w:rsidR="00287975" w:rsidRPr="00151E0A" w:rsidRDefault="00287975">
      <w:pPr>
        <w:pStyle w:val="FootnoteText"/>
        <w:rPr>
          <w:rFonts w:cstheme="minorHAnsi"/>
        </w:rPr>
      </w:pPr>
      <w:r w:rsidRPr="00151E0A">
        <w:rPr>
          <w:rStyle w:val="FootnoteReference"/>
          <w:rFonts w:cstheme="minorHAnsi"/>
        </w:rPr>
        <w:footnoteRef/>
      </w:r>
      <w:r w:rsidRPr="00151E0A">
        <w:rPr>
          <w:rFonts w:cstheme="minorHAnsi"/>
        </w:rPr>
        <w:t xml:space="preserve"> Richmond Group of Charities</w:t>
      </w:r>
      <w:r w:rsidR="002F1379" w:rsidRPr="00151E0A">
        <w:rPr>
          <w:rFonts w:cstheme="minorHAnsi"/>
        </w:rPr>
        <w:t>,</w:t>
      </w:r>
      <w:r w:rsidRPr="00151E0A">
        <w:rPr>
          <w:rFonts w:cstheme="minorHAnsi"/>
        </w:rPr>
        <w:t xml:space="preserve"> “Just one thing after another” Living with multiple conditions , </w:t>
      </w:r>
      <w:r w:rsidR="002F1379" w:rsidRPr="00151E0A">
        <w:rPr>
          <w:rFonts w:cstheme="minorHAnsi"/>
        </w:rPr>
        <w:t xml:space="preserve">2018. </w:t>
      </w:r>
      <w:r w:rsidRPr="00151E0A">
        <w:rPr>
          <w:rFonts w:cstheme="minorHAnsi"/>
        </w:rPr>
        <w:t>https://richmondgroupofcharities.org.uk/sites/default/files/final_just_one_thing_after_another_report_-_singles.pdf</w:t>
      </w:r>
    </w:p>
  </w:footnote>
  <w:footnote w:id="3">
    <w:p w14:paraId="452B5B3F" w14:textId="3DDA2DCA" w:rsidR="002839F0" w:rsidRPr="00151E0A" w:rsidRDefault="002839F0" w:rsidP="002839F0">
      <w:pPr>
        <w:pStyle w:val="FootnoteText"/>
        <w:rPr>
          <w:rFonts w:cstheme="minorHAnsi"/>
        </w:rPr>
      </w:pPr>
      <w:r w:rsidRPr="00151E0A">
        <w:rPr>
          <w:rStyle w:val="FootnoteReference"/>
          <w:rFonts w:cstheme="minorHAnsi"/>
        </w:rPr>
        <w:footnoteRef/>
      </w:r>
      <w:r w:rsidRPr="00151E0A">
        <w:rPr>
          <w:rFonts w:cstheme="minorHAnsi"/>
        </w:rPr>
        <w:t xml:space="preserve"> The Academy of Medical Sciences, Multimorbidity: a priority for global health research, April 2018, </w:t>
      </w:r>
      <w:hyperlink r:id="rId2" w:history="1">
        <w:r w:rsidRPr="00151E0A">
          <w:rPr>
            <w:rStyle w:val="Hyperlink"/>
            <w:rFonts w:cstheme="minorHAnsi"/>
          </w:rPr>
          <w:t>https://acmedsci.ac.uk/file-download/82222577</w:t>
        </w:r>
      </w:hyperlink>
    </w:p>
  </w:footnote>
  <w:footnote w:id="4">
    <w:p w14:paraId="0B98E7BC" w14:textId="0BEB35B6" w:rsidR="00AE7E06" w:rsidRDefault="00AE7E06">
      <w:pPr>
        <w:pStyle w:val="FootnoteText"/>
      </w:pPr>
      <w:r>
        <w:rPr>
          <w:rStyle w:val="FootnoteReference"/>
        </w:rPr>
        <w:footnoteRef/>
      </w:r>
      <w:r>
        <w:t xml:space="preserve"> Dah</w:t>
      </w:r>
      <w:r w:rsidR="001626CE">
        <w:t>lgren</w:t>
      </w:r>
      <w:r w:rsidR="00C81A9A">
        <w:t xml:space="preserve">, G &amp; Whitehead, M </w:t>
      </w:r>
      <w:r w:rsidR="005F132D">
        <w:t>(1991)</w:t>
      </w:r>
      <w:r w:rsidR="00C81A9A">
        <w:t>“</w:t>
      </w:r>
      <w:r w:rsidRPr="00AE7E06">
        <w:t>What Can Be Done About Inequalities in Health?</w:t>
      </w:r>
      <w:r w:rsidR="005F132D"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0C6E" w14:textId="7ECABE2A" w:rsidR="00AC549D" w:rsidRDefault="00AC549D">
    <w:pPr>
      <w:pStyle w:val="Header"/>
    </w:pPr>
  </w:p>
  <w:p w14:paraId="6D128B96" w14:textId="77777777" w:rsidR="00AC549D" w:rsidRDefault="00AC5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2DB6" w14:textId="58B698BF" w:rsidR="00A07C26" w:rsidRDefault="00A07C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565D72" wp14:editId="1B388CDA">
          <wp:simplePos x="0" y="0"/>
          <wp:positionH relativeFrom="margin">
            <wp:posOffset>1118235</wp:posOffset>
          </wp:positionH>
          <wp:positionV relativeFrom="paragraph">
            <wp:posOffset>149860</wp:posOffset>
          </wp:positionV>
          <wp:extent cx="4757420" cy="631825"/>
          <wp:effectExtent l="0" t="0" r="5080" b="0"/>
          <wp:wrapTight wrapText="bothSides">
            <wp:wrapPolygon edited="0">
              <wp:start x="0" y="0"/>
              <wp:lineTo x="0" y="20840"/>
              <wp:lineTo x="21537" y="20840"/>
              <wp:lineTo x="21537" y="0"/>
              <wp:lineTo x="0" y="0"/>
            </wp:wrapPolygon>
          </wp:wrapTight>
          <wp:docPr id="1614354848" name="picture" descr="KHP_M_stacked_descriptor_strapline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42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0C014C" wp14:editId="700EB68B">
          <wp:simplePos x="0" y="0"/>
          <wp:positionH relativeFrom="column">
            <wp:posOffset>245110</wp:posOffset>
          </wp:positionH>
          <wp:positionV relativeFrom="paragraph">
            <wp:posOffset>-135255</wp:posOffset>
          </wp:positionV>
          <wp:extent cx="908050" cy="908050"/>
          <wp:effectExtent l="0" t="0" r="6350" b="6350"/>
          <wp:wrapTight wrapText="bothSides">
            <wp:wrapPolygon edited="0">
              <wp:start x="6797" y="0"/>
              <wp:lineTo x="4078" y="1359"/>
              <wp:lineTo x="0" y="5438"/>
              <wp:lineTo x="0" y="15860"/>
              <wp:lineTo x="5438" y="21298"/>
              <wp:lineTo x="6797" y="21298"/>
              <wp:lineTo x="14501" y="21298"/>
              <wp:lineTo x="15860" y="21298"/>
              <wp:lineTo x="21298" y="15860"/>
              <wp:lineTo x="21298" y="5438"/>
              <wp:lineTo x="17220" y="1359"/>
              <wp:lineTo x="14501" y="0"/>
              <wp:lineTo x="6797" y="0"/>
            </wp:wrapPolygon>
          </wp:wrapTight>
          <wp:docPr id="301954828" name="picture" descr="J:\A&amp;S\A&amp;S_Central_Rest\PS\Health Research Development\Chris\MLTC\GST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C30"/>
    <w:multiLevelType w:val="hybridMultilevel"/>
    <w:tmpl w:val="9A1EEDEA"/>
    <w:lvl w:ilvl="0" w:tplc="BBFA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CB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0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2D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02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EB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87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2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21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7C0FE4"/>
    <w:multiLevelType w:val="multilevel"/>
    <w:tmpl w:val="8DDE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960D3"/>
    <w:multiLevelType w:val="hybridMultilevel"/>
    <w:tmpl w:val="7BA0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2B3A"/>
    <w:multiLevelType w:val="hybridMultilevel"/>
    <w:tmpl w:val="145A1F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6A317AF"/>
    <w:multiLevelType w:val="hybridMultilevel"/>
    <w:tmpl w:val="7054A9C6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280457D"/>
    <w:multiLevelType w:val="hybridMultilevel"/>
    <w:tmpl w:val="021077FC"/>
    <w:lvl w:ilvl="0" w:tplc="EECC94FC">
      <w:numFmt w:val="bullet"/>
      <w:lvlText w:val=""/>
      <w:lvlJc w:val="left"/>
      <w:pPr>
        <w:ind w:left="720" w:hanging="360"/>
      </w:pPr>
      <w:rPr>
        <w:rFonts w:ascii="Symbol" w:eastAsia="Helvetica Neue Thin" w:hAnsi="Symbol" w:cs="Helvetica Neue Th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566CA"/>
    <w:multiLevelType w:val="hybridMultilevel"/>
    <w:tmpl w:val="506E1430"/>
    <w:lvl w:ilvl="0" w:tplc="F5C40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EC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49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CF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A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CA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62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ED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C4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6E5344"/>
    <w:multiLevelType w:val="multilevel"/>
    <w:tmpl w:val="205CE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75F6B16"/>
    <w:multiLevelType w:val="hybridMultilevel"/>
    <w:tmpl w:val="E73E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C4B90"/>
    <w:multiLevelType w:val="multilevel"/>
    <w:tmpl w:val="2BDAB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82A2A5E"/>
    <w:multiLevelType w:val="hybridMultilevel"/>
    <w:tmpl w:val="222EB9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9D"/>
    <w:rsid w:val="000055D1"/>
    <w:rsid w:val="000113B2"/>
    <w:rsid w:val="00011C99"/>
    <w:rsid w:val="000236BC"/>
    <w:rsid w:val="00023A03"/>
    <w:rsid w:val="00023DCC"/>
    <w:rsid w:val="00025A07"/>
    <w:rsid w:val="00030A21"/>
    <w:rsid w:val="000410EF"/>
    <w:rsid w:val="00046D06"/>
    <w:rsid w:val="0005206D"/>
    <w:rsid w:val="00054F42"/>
    <w:rsid w:val="000550DD"/>
    <w:rsid w:val="000564D7"/>
    <w:rsid w:val="000631B9"/>
    <w:rsid w:val="00066634"/>
    <w:rsid w:val="00073C9A"/>
    <w:rsid w:val="00075787"/>
    <w:rsid w:val="00083E86"/>
    <w:rsid w:val="00083FB5"/>
    <w:rsid w:val="000A179E"/>
    <w:rsid w:val="000A2023"/>
    <w:rsid w:val="000A3E47"/>
    <w:rsid w:val="000B097C"/>
    <w:rsid w:val="000B196E"/>
    <w:rsid w:val="000B7284"/>
    <w:rsid w:val="000C6845"/>
    <w:rsid w:val="000D4B99"/>
    <w:rsid w:val="000E3074"/>
    <w:rsid w:val="000E6CFD"/>
    <w:rsid w:val="00101E53"/>
    <w:rsid w:val="00110426"/>
    <w:rsid w:val="00113B26"/>
    <w:rsid w:val="00114F89"/>
    <w:rsid w:val="001168A6"/>
    <w:rsid w:val="0011730B"/>
    <w:rsid w:val="001205CD"/>
    <w:rsid w:val="00122E6E"/>
    <w:rsid w:val="00125488"/>
    <w:rsid w:val="00125EE3"/>
    <w:rsid w:val="0013203C"/>
    <w:rsid w:val="001365C8"/>
    <w:rsid w:val="00137AE9"/>
    <w:rsid w:val="00146E42"/>
    <w:rsid w:val="00147661"/>
    <w:rsid w:val="00151E0A"/>
    <w:rsid w:val="00153E9A"/>
    <w:rsid w:val="00157154"/>
    <w:rsid w:val="001626CE"/>
    <w:rsid w:val="00164397"/>
    <w:rsid w:val="0016571D"/>
    <w:rsid w:val="0017365E"/>
    <w:rsid w:val="001748CD"/>
    <w:rsid w:val="00176D6F"/>
    <w:rsid w:val="00181A7A"/>
    <w:rsid w:val="00185B52"/>
    <w:rsid w:val="00187422"/>
    <w:rsid w:val="001936C1"/>
    <w:rsid w:val="001A0A28"/>
    <w:rsid w:val="001A254D"/>
    <w:rsid w:val="001A2774"/>
    <w:rsid w:val="001B2415"/>
    <w:rsid w:val="001C5631"/>
    <w:rsid w:val="001D2CBA"/>
    <w:rsid w:val="001D3800"/>
    <w:rsid w:val="001D6B05"/>
    <w:rsid w:val="001E18FC"/>
    <w:rsid w:val="001E3FF8"/>
    <w:rsid w:val="001E67BE"/>
    <w:rsid w:val="001E7954"/>
    <w:rsid w:val="001F1D7D"/>
    <w:rsid w:val="00202E2C"/>
    <w:rsid w:val="002076EC"/>
    <w:rsid w:val="00207D18"/>
    <w:rsid w:val="002109F4"/>
    <w:rsid w:val="002144D2"/>
    <w:rsid w:val="00214AC9"/>
    <w:rsid w:val="00214CF9"/>
    <w:rsid w:val="00215792"/>
    <w:rsid w:val="0021715C"/>
    <w:rsid w:val="002228B7"/>
    <w:rsid w:val="00230B7E"/>
    <w:rsid w:val="00231B19"/>
    <w:rsid w:val="00231FF4"/>
    <w:rsid w:val="00233EA0"/>
    <w:rsid w:val="00235395"/>
    <w:rsid w:val="002449C9"/>
    <w:rsid w:val="00253261"/>
    <w:rsid w:val="00257EFB"/>
    <w:rsid w:val="00257FE7"/>
    <w:rsid w:val="00260719"/>
    <w:rsid w:val="00261ACE"/>
    <w:rsid w:val="00263822"/>
    <w:rsid w:val="00263B35"/>
    <w:rsid w:val="002735A8"/>
    <w:rsid w:val="002839F0"/>
    <w:rsid w:val="00287975"/>
    <w:rsid w:val="00287E72"/>
    <w:rsid w:val="00292BC3"/>
    <w:rsid w:val="00296E5A"/>
    <w:rsid w:val="002B1280"/>
    <w:rsid w:val="002B2C82"/>
    <w:rsid w:val="002C2E42"/>
    <w:rsid w:val="002C4575"/>
    <w:rsid w:val="002C7285"/>
    <w:rsid w:val="002C7396"/>
    <w:rsid w:val="002D7B70"/>
    <w:rsid w:val="002E6D51"/>
    <w:rsid w:val="002E7973"/>
    <w:rsid w:val="002E7DB3"/>
    <w:rsid w:val="002F1379"/>
    <w:rsid w:val="002F4539"/>
    <w:rsid w:val="002F6433"/>
    <w:rsid w:val="003002AF"/>
    <w:rsid w:val="00304FB0"/>
    <w:rsid w:val="0030744B"/>
    <w:rsid w:val="00311254"/>
    <w:rsid w:val="00313E01"/>
    <w:rsid w:val="00314B1B"/>
    <w:rsid w:val="003157FA"/>
    <w:rsid w:val="0031693E"/>
    <w:rsid w:val="003177B8"/>
    <w:rsid w:val="00322B60"/>
    <w:rsid w:val="00323D17"/>
    <w:rsid w:val="00327B72"/>
    <w:rsid w:val="0033222B"/>
    <w:rsid w:val="00332E63"/>
    <w:rsid w:val="00333357"/>
    <w:rsid w:val="00335F22"/>
    <w:rsid w:val="003409AB"/>
    <w:rsid w:val="003432C5"/>
    <w:rsid w:val="00352647"/>
    <w:rsid w:val="00352EDB"/>
    <w:rsid w:val="00352FEA"/>
    <w:rsid w:val="003621D7"/>
    <w:rsid w:val="0036703B"/>
    <w:rsid w:val="0037348A"/>
    <w:rsid w:val="00377E9F"/>
    <w:rsid w:val="00382781"/>
    <w:rsid w:val="00386AFC"/>
    <w:rsid w:val="00394667"/>
    <w:rsid w:val="003A0DA5"/>
    <w:rsid w:val="003A401B"/>
    <w:rsid w:val="003B1AB5"/>
    <w:rsid w:val="003B3E4D"/>
    <w:rsid w:val="003B52A0"/>
    <w:rsid w:val="003B5AA8"/>
    <w:rsid w:val="003B6707"/>
    <w:rsid w:val="003D3ED7"/>
    <w:rsid w:val="003D4CE4"/>
    <w:rsid w:val="003D5016"/>
    <w:rsid w:val="003E0B73"/>
    <w:rsid w:val="003E149E"/>
    <w:rsid w:val="003F1D41"/>
    <w:rsid w:val="0040043F"/>
    <w:rsid w:val="004028E1"/>
    <w:rsid w:val="00405ED9"/>
    <w:rsid w:val="00410113"/>
    <w:rsid w:val="004117D4"/>
    <w:rsid w:val="00411ECC"/>
    <w:rsid w:val="0041293B"/>
    <w:rsid w:val="00412C13"/>
    <w:rsid w:val="0041794F"/>
    <w:rsid w:val="00420B3B"/>
    <w:rsid w:val="00423F37"/>
    <w:rsid w:val="004247DE"/>
    <w:rsid w:val="00430189"/>
    <w:rsid w:val="0043238D"/>
    <w:rsid w:val="004355A5"/>
    <w:rsid w:val="004355FE"/>
    <w:rsid w:val="004372FC"/>
    <w:rsid w:val="0043732E"/>
    <w:rsid w:val="00441294"/>
    <w:rsid w:val="0044152B"/>
    <w:rsid w:val="00442A67"/>
    <w:rsid w:val="00450BE0"/>
    <w:rsid w:val="00454626"/>
    <w:rsid w:val="00454F12"/>
    <w:rsid w:val="00465651"/>
    <w:rsid w:val="0046690C"/>
    <w:rsid w:val="00474983"/>
    <w:rsid w:val="004801A6"/>
    <w:rsid w:val="00486EFC"/>
    <w:rsid w:val="00494141"/>
    <w:rsid w:val="004A128E"/>
    <w:rsid w:val="004A514D"/>
    <w:rsid w:val="004B0984"/>
    <w:rsid w:val="004B193F"/>
    <w:rsid w:val="004B32E0"/>
    <w:rsid w:val="004B7E22"/>
    <w:rsid w:val="004C42D7"/>
    <w:rsid w:val="004D168B"/>
    <w:rsid w:val="004D2CDA"/>
    <w:rsid w:val="004F190E"/>
    <w:rsid w:val="004F2D45"/>
    <w:rsid w:val="004F72DB"/>
    <w:rsid w:val="005059B0"/>
    <w:rsid w:val="005137C9"/>
    <w:rsid w:val="005240C3"/>
    <w:rsid w:val="00527E08"/>
    <w:rsid w:val="00533298"/>
    <w:rsid w:val="005422C8"/>
    <w:rsid w:val="00542E93"/>
    <w:rsid w:val="00544BF2"/>
    <w:rsid w:val="0055381F"/>
    <w:rsid w:val="005573C9"/>
    <w:rsid w:val="005579C5"/>
    <w:rsid w:val="00561258"/>
    <w:rsid w:val="00573633"/>
    <w:rsid w:val="00575181"/>
    <w:rsid w:val="005815E7"/>
    <w:rsid w:val="00594DF0"/>
    <w:rsid w:val="00595604"/>
    <w:rsid w:val="00596D2C"/>
    <w:rsid w:val="005A5C95"/>
    <w:rsid w:val="005B1DF5"/>
    <w:rsid w:val="005C174F"/>
    <w:rsid w:val="005C3801"/>
    <w:rsid w:val="005C3951"/>
    <w:rsid w:val="005C47A1"/>
    <w:rsid w:val="005C73CC"/>
    <w:rsid w:val="005D1B74"/>
    <w:rsid w:val="005D530D"/>
    <w:rsid w:val="005D7D89"/>
    <w:rsid w:val="005E00C8"/>
    <w:rsid w:val="005E1790"/>
    <w:rsid w:val="005F132D"/>
    <w:rsid w:val="00607CF1"/>
    <w:rsid w:val="00607E31"/>
    <w:rsid w:val="006114A0"/>
    <w:rsid w:val="00621A04"/>
    <w:rsid w:val="00630DCB"/>
    <w:rsid w:val="00635868"/>
    <w:rsid w:val="00636BA7"/>
    <w:rsid w:val="006371C3"/>
    <w:rsid w:val="00650CA3"/>
    <w:rsid w:val="0065684F"/>
    <w:rsid w:val="00662D5F"/>
    <w:rsid w:val="00663644"/>
    <w:rsid w:val="006647AD"/>
    <w:rsid w:val="00664C11"/>
    <w:rsid w:val="006666CB"/>
    <w:rsid w:val="00672284"/>
    <w:rsid w:val="00681EB1"/>
    <w:rsid w:val="006844AF"/>
    <w:rsid w:val="006853BF"/>
    <w:rsid w:val="0068719F"/>
    <w:rsid w:val="00692C54"/>
    <w:rsid w:val="00693C84"/>
    <w:rsid w:val="006951EF"/>
    <w:rsid w:val="00697659"/>
    <w:rsid w:val="006A0064"/>
    <w:rsid w:val="006A0576"/>
    <w:rsid w:val="006A6166"/>
    <w:rsid w:val="006A791A"/>
    <w:rsid w:val="006B46C9"/>
    <w:rsid w:val="006B531A"/>
    <w:rsid w:val="006B57CA"/>
    <w:rsid w:val="006B657A"/>
    <w:rsid w:val="006C0E9C"/>
    <w:rsid w:val="006C2885"/>
    <w:rsid w:val="006C3BFC"/>
    <w:rsid w:val="006C3F45"/>
    <w:rsid w:val="006D1783"/>
    <w:rsid w:val="006D5AFE"/>
    <w:rsid w:val="006E28AD"/>
    <w:rsid w:val="006E6ECF"/>
    <w:rsid w:val="006F1839"/>
    <w:rsid w:val="00707813"/>
    <w:rsid w:val="00710625"/>
    <w:rsid w:val="00713F2B"/>
    <w:rsid w:val="00716D26"/>
    <w:rsid w:val="00720D18"/>
    <w:rsid w:val="00721302"/>
    <w:rsid w:val="00721DA0"/>
    <w:rsid w:val="007241AB"/>
    <w:rsid w:val="0074087A"/>
    <w:rsid w:val="0074294C"/>
    <w:rsid w:val="007429FA"/>
    <w:rsid w:val="00744005"/>
    <w:rsid w:val="00745729"/>
    <w:rsid w:val="00750A99"/>
    <w:rsid w:val="00754FF9"/>
    <w:rsid w:val="00757973"/>
    <w:rsid w:val="007602F2"/>
    <w:rsid w:val="0076622C"/>
    <w:rsid w:val="00767648"/>
    <w:rsid w:val="00771F6E"/>
    <w:rsid w:val="00775872"/>
    <w:rsid w:val="00784F2E"/>
    <w:rsid w:val="007903E0"/>
    <w:rsid w:val="00793F1E"/>
    <w:rsid w:val="007A28E2"/>
    <w:rsid w:val="007A6000"/>
    <w:rsid w:val="007B337B"/>
    <w:rsid w:val="007B6A82"/>
    <w:rsid w:val="007C5E8C"/>
    <w:rsid w:val="007D0900"/>
    <w:rsid w:val="007D1035"/>
    <w:rsid w:val="007E097A"/>
    <w:rsid w:val="007F06E2"/>
    <w:rsid w:val="007F6D0F"/>
    <w:rsid w:val="00807270"/>
    <w:rsid w:val="00812A54"/>
    <w:rsid w:val="00823FB4"/>
    <w:rsid w:val="00826261"/>
    <w:rsid w:val="00826D55"/>
    <w:rsid w:val="00834929"/>
    <w:rsid w:val="00834D28"/>
    <w:rsid w:val="00834F5E"/>
    <w:rsid w:val="00836F09"/>
    <w:rsid w:val="00846969"/>
    <w:rsid w:val="00846C34"/>
    <w:rsid w:val="00847A6A"/>
    <w:rsid w:val="00851901"/>
    <w:rsid w:val="008524AE"/>
    <w:rsid w:val="00857C33"/>
    <w:rsid w:val="00860309"/>
    <w:rsid w:val="00861D58"/>
    <w:rsid w:val="00862650"/>
    <w:rsid w:val="008636C9"/>
    <w:rsid w:val="0086373D"/>
    <w:rsid w:val="008735B2"/>
    <w:rsid w:val="00873939"/>
    <w:rsid w:val="008744CD"/>
    <w:rsid w:val="00876360"/>
    <w:rsid w:val="00887E56"/>
    <w:rsid w:val="008904DF"/>
    <w:rsid w:val="00895622"/>
    <w:rsid w:val="00895D10"/>
    <w:rsid w:val="008965E1"/>
    <w:rsid w:val="0089769A"/>
    <w:rsid w:val="008A3C91"/>
    <w:rsid w:val="008C3377"/>
    <w:rsid w:val="008C5C0D"/>
    <w:rsid w:val="008D0D92"/>
    <w:rsid w:val="008D5C1C"/>
    <w:rsid w:val="008E36D4"/>
    <w:rsid w:val="008E5BD6"/>
    <w:rsid w:val="008E6839"/>
    <w:rsid w:val="00900FC3"/>
    <w:rsid w:val="00912E84"/>
    <w:rsid w:val="00914426"/>
    <w:rsid w:val="00915952"/>
    <w:rsid w:val="00923003"/>
    <w:rsid w:val="00925159"/>
    <w:rsid w:val="0093023F"/>
    <w:rsid w:val="009352B7"/>
    <w:rsid w:val="009371A8"/>
    <w:rsid w:val="00943323"/>
    <w:rsid w:val="0094401F"/>
    <w:rsid w:val="00952EB2"/>
    <w:rsid w:val="00954F17"/>
    <w:rsid w:val="00960373"/>
    <w:rsid w:val="00970558"/>
    <w:rsid w:val="00970F1B"/>
    <w:rsid w:val="00976A81"/>
    <w:rsid w:val="0098074D"/>
    <w:rsid w:val="00981096"/>
    <w:rsid w:val="0098180C"/>
    <w:rsid w:val="009A2149"/>
    <w:rsid w:val="009B7421"/>
    <w:rsid w:val="009D3DB7"/>
    <w:rsid w:val="009E206A"/>
    <w:rsid w:val="009F538E"/>
    <w:rsid w:val="009F68D6"/>
    <w:rsid w:val="009F7495"/>
    <w:rsid w:val="00A07C26"/>
    <w:rsid w:val="00A108BD"/>
    <w:rsid w:val="00A133A7"/>
    <w:rsid w:val="00A1485E"/>
    <w:rsid w:val="00A34118"/>
    <w:rsid w:val="00A34664"/>
    <w:rsid w:val="00A34A03"/>
    <w:rsid w:val="00A44731"/>
    <w:rsid w:val="00A46AE5"/>
    <w:rsid w:val="00A60FF2"/>
    <w:rsid w:val="00A62B39"/>
    <w:rsid w:val="00A659A2"/>
    <w:rsid w:val="00A76B58"/>
    <w:rsid w:val="00A839C9"/>
    <w:rsid w:val="00A8512A"/>
    <w:rsid w:val="00A91668"/>
    <w:rsid w:val="00A94109"/>
    <w:rsid w:val="00A95C8F"/>
    <w:rsid w:val="00AA3A28"/>
    <w:rsid w:val="00AA4143"/>
    <w:rsid w:val="00AA4ACC"/>
    <w:rsid w:val="00AA5A34"/>
    <w:rsid w:val="00AB2536"/>
    <w:rsid w:val="00AB5249"/>
    <w:rsid w:val="00AC23E1"/>
    <w:rsid w:val="00AC39B6"/>
    <w:rsid w:val="00AC549D"/>
    <w:rsid w:val="00AD0966"/>
    <w:rsid w:val="00AD27A8"/>
    <w:rsid w:val="00AD3A71"/>
    <w:rsid w:val="00AE0D17"/>
    <w:rsid w:val="00AE7E06"/>
    <w:rsid w:val="00AF3AF6"/>
    <w:rsid w:val="00AF5D93"/>
    <w:rsid w:val="00AF79B5"/>
    <w:rsid w:val="00B03464"/>
    <w:rsid w:val="00B1129D"/>
    <w:rsid w:val="00B117C4"/>
    <w:rsid w:val="00B1202D"/>
    <w:rsid w:val="00B14F8C"/>
    <w:rsid w:val="00B14FDE"/>
    <w:rsid w:val="00B167BD"/>
    <w:rsid w:val="00B300D9"/>
    <w:rsid w:val="00B32CDA"/>
    <w:rsid w:val="00B35DC8"/>
    <w:rsid w:val="00B365E0"/>
    <w:rsid w:val="00B36A4A"/>
    <w:rsid w:val="00B4154F"/>
    <w:rsid w:val="00B431BB"/>
    <w:rsid w:val="00B5334A"/>
    <w:rsid w:val="00B55388"/>
    <w:rsid w:val="00B60942"/>
    <w:rsid w:val="00B66F29"/>
    <w:rsid w:val="00B70207"/>
    <w:rsid w:val="00B7048D"/>
    <w:rsid w:val="00B73A5D"/>
    <w:rsid w:val="00B75948"/>
    <w:rsid w:val="00B7677C"/>
    <w:rsid w:val="00B77C8A"/>
    <w:rsid w:val="00B80E34"/>
    <w:rsid w:val="00B8369B"/>
    <w:rsid w:val="00B85698"/>
    <w:rsid w:val="00B85789"/>
    <w:rsid w:val="00B87D65"/>
    <w:rsid w:val="00B90BF1"/>
    <w:rsid w:val="00B91150"/>
    <w:rsid w:val="00B924DC"/>
    <w:rsid w:val="00B94BC9"/>
    <w:rsid w:val="00B959B3"/>
    <w:rsid w:val="00B96C12"/>
    <w:rsid w:val="00BA55D6"/>
    <w:rsid w:val="00BC1066"/>
    <w:rsid w:val="00BC1BAB"/>
    <w:rsid w:val="00BC3C1B"/>
    <w:rsid w:val="00BD3AF4"/>
    <w:rsid w:val="00BE0F78"/>
    <w:rsid w:val="00BE1D53"/>
    <w:rsid w:val="00BE4A5E"/>
    <w:rsid w:val="00BF132D"/>
    <w:rsid w:val="00BF3DB3"/>
    <w:rsid w:val="00BF3DE1"/>
    <w:rsid w:val="00C014A5"/>
    <w:rsid w:val="00C02CD3"/>
    <w:rsid w:val="00C03557"/>
    <w:rsid w:val="00C035E7"/>
    <w:rsid w:val="00C12BE0"/>
    <w:rsid w:val="00C17070"/>
    <w:rsid w:val="00C3020C"/>
    <w:rsid w:val="00C34D27"/>
    <w:rsid w:val="00C37A28"/>
    <w:rsid w:val="00C37E2C"/>
    <w:rsid w:val="00C40A0B"/>
    <w:rsid w:val="00C47263"/>
    <w:rsid w:val="00C544AE"/>
    <w:rsid w:val="00C55CBC"/>
    <w:rsid w:val="00C5706F"/>
    <w:rsid w:val="00C62EC0"/>
    <w:rsid w:val="00C6368F"/>
    <w:rsid w:val="00C66A7C"/>
    <w:rsid w:val="00C66EC9"/>
    <w:rsid w:val="00C7033E"/>
    <w:rsid w:val="00C709BD"/>
    <w:rsid w:val="00C77073"/>
    <w:rsid w:val="00C813ED"/>
    <w:rsid w:val="00C81A9A"/>
    <w:rsid w:val="00C83806"/>
    <w:rsid w:val="00C85F8A"/>
    <w:rsid w:val="00C861FE"/>
    <w:rsid w:val="00C8731E"/>
    <w:rsid w:val="00C940C4"/>
    <w:rsid w:val="00C954F7"/>
    <w:rsid w:val="00CA0A9A"/>
    <w:rsid w:val="00CA4430"/>
    <w:rsid w:val="00CA6E20"/>
    <w:rsid w:val="00CB3F65"/>
    <w:rsid w:val="00CC23B4"/>
    <w:rsid w:val="00CC6384"/>
    <w:rsid w:val="00CD2379"/>
    <w:rsid w:val="00CE02B4"/>
    <w:rsid w:val="00CE0C03"/>
    <w:rsid w:val="00CE17E8"/>
    <w:rsid w:val="00CE2917"/>
    <w:rsid w:val="00CE73CB"/>
    <w:rsid w:val="00CF0B74"/>
    <w:rsid w:val="00CF1FF7"/>
    <w:rsid w:val="00CF2C27"/>
    <w:rsid w:val="00D01445"/>
    <w:rsid w:val="00D1219C"/>
    <w:rsid w:val="00D22D41"/>
    <w:rsid w:val="00D23014"/>
    <w:rsid w:val="00D242A3"/>
    <w:rsid w:val="00D26C18"/>
    <w:rsid w:val="00D31275"/>
    <w:rsid w:val="00D33FF7"/>
    <w:rsid w:val="00D34201"/>
    <w:rsid w:val="00D35009"/>
    <w:rsid w:val="00D351F9"/>
    <w:rsid w:val="00D44011"/>
    <w:rsid w:val="00D5194D"/>
    <w:rsid w:val="00D55A76"/>
    <w:rsid w:val="00D57B90"/>
    <w:rsid w:val="00D6623E"/>
    <w:rsid w:val="00D77353"/>
    <w:rsid w:val="00D81C5C"/>
    <w:rsid w:val="00D83F61"/>
    <w:rsid w:val="00D8549A"/>
    <w:rsid w:val="00D920CF"/>
    <w:rsid w:val="00D93B6F"/>
    <w:rsid w:val="00D96042"/>
    <w:rsid w:val="00DA3DD2"/>
    <w:rsid w:val="00DA77E4"/>
    <w:rsid w:val="00DB12A2"/>
    <w:rsid w:val="00DB1A0A"/>
    <w:rsid w:val="00DB39E3"/>
    <w:rsid w:val="00DB4F0D"/>
    <w:rsid w:val="00DB6C02"/>
    <w:rsid w:val="00DC1D6B"/>
    <w:rsid w:val="00DC361C"/>
    <w:rsid w:val="00DC5BF0"/>
    <w:rsid w:val="00DD30C0"/>
    <w:rsid w:val="00DD3F03"/>
    <w:rsid w:val="00DD430B"/>
    <w:rsid w:val="00DD68B9"/>
    <w:rsid w:val="00DE4994"/>
    <w:rsid w:val="00DE4BA4"/>
    <w:rsid w:val="00DE6586"/>
    <w:rsid w:val="00DE67BE"/>
    <w:rsid w:val="00DF0993"/>
    <w:rsid w:val="00DF1607"/>
    <w:rsid w:val="00DF5B12"/>
    <w:rsid w:val="00E01B08"/>
    <w:rsid w:val="00E04B36"/>
    <w:rsid w:val="00E06AF5"/>
    <w:rsid w:val="00E07F10"/>
    <w:rsid w:val="00E16331"/>
    <w:rsid w:val="00E208A3"/>
    <w:rsid w:val="00E248A1"/>
    <w:rsid w:val="00E2496E"/>
    <w:rsid w:val="00E26A93"/>
    <w:rsid w:val="00E35C4A"/>
    <w:rsid w:val="00E36D87"/>
    <w:rsid w:val="00E4177D"/>
    <w:rsid w:val="00E42D34"/>
    <w:rsid w:val="00E42F84"/>
    <w:rsid w:val="00E56FF3"/>
    <w:rsid w:val="00E614B8"/>
    <w:rsid w:val="00E61D76"/>
    <w:rsid w:val="00E622EF"/>
    <w:rsid w:val="00E663D0"/>
    <w:rsid w:val="00E668A7"/>
    <w:rsid w:val="00E678C5"/>
    <w:rsid w:val="00E73A83"/>
    <w:rsid w:val="00E86468"/>
    <w:rsid w:val="00E87203"/>
    <w:rsid w:val="00E90949"/>
    <w:rsid w:val="00E92A77"/>
    <w:rsid w:val="00E97AA6"/>
    <w:rsid w:val="00EA0A8D"/>
    <w:rsid w:val="00EB266D"/>
    <w:rsid w:val="00EB3B88"/>
    <w:rsid w:val="00EB3C14"/>
    <w:rsid w:val="00EC4F50"/>
    <w:rsid w:val="00EC6D14"/>
    <w:rsid w:val="00EC754A"/>
    <w:rsid w:val="00ED6052"/>
    <w:rsid w:val="00EE067B"/>
    <w:rsid w:val="00EE4AB3"/>
    <w:rsid w:val="00EE726A"/>
    <w:rsid w:val="00EF20C3"/>
    <w:rsid w:val="00F01E54"/>
    <w:rsid w:val="00F0641C"/>
    <w:rsid w:val="00F0648A"/>
    <w:rsid w:val="00F2016B"/>
    <w:rsid w:val="00F311F2"/>
    <w:rsid w:val="00F40906"/>
    <w:rsid w:val="00F4159A"/>
    <w:rsid w:val="00F47A89"/>
    <w:rsid w:val="00F550B6"/>
    <w:rsid w:val="00F55743"/>
    <w:rsid w:val="00F55ABA"/>
    <w:rsid w:val="00F6118B"/>
    <w:rsid w:val="00F64691"/>
    <w:rsid w:val="00F713A3"/>
    <w:rsid w:val="00F71C14"/>
    <w:rsid w:val="00F73FD3"/>
    <w:rsid w:val="00F810BE"/>
    <w:rsid w:val="00F819C9"/>
    <w:rsid w:val="00F86CD1"/>
    <w:rsid w:val="00F90449"/>
    <w:rsid w:val="00F90631"/>
    <w:rsid w:val="00F90E72"/>
    <w:rsid w:val="00F9182E"/>
    <w:rsid w:val="00F94F57"/>
    <w:rsid w:val="00FA053A"/>
    <w:rsid w:val="00FA0F3C"/>
    <w:rsid w:val="00FA45EC"/>
    <w:rsid w:val="00FB5433"/>
    <w:rsid w:val="00FC038C"/>
    <w:rsid w:val="00FC20C9"/>
    <w:rsid w:val="00FD248B"/>
    <w:rsid w:val="00FD3D5A"/>
    <w:rsid w:val="00FD5F60"/>
    <w:rsid w:val="00FE197E"/>
    <w:rsid w:val="00FE7648"/>
    <w:rsid w:val="00FF3C57"/>
    <w:rsid w:val="00FF4866"/>
    <w:rsid w:val="00FF5427"/>
    <w:rsid w:val="00FF56AE"/>
    <w:rsid w:val="00FF72C4"/>
    <w:rsid w:val="51EC1EE2"/>
    <w:rsid w:val="70019C7B"/>
    <w:rsid w:val="76928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9CA9F"/>
  <w15:chartTrackingRefBased/>
  <w15:docId w15:val="{EC8AE10A-F8AD-405F-A63F-267915A7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AF6"/>
  </w:style>
  <w:style w:type="paragraph" w:styleId="Heading1">
    <w:name w:val="heading 1"/>
    <w:basedOn w:val="Normal"/>
    <w:next w:val="Normal"/>
    <w:link w:val="Heading1Char"/>
    <w:uiPriority w:val="9"/>
    <w:qFormat/>
    <w:rsid w:val="00AF3AF6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9D"/>
  </w:style>
  <w:style w:type="paragraph" w:styleId="Footer">
    <w:name w:val="footer"/>
    <w:basedOn w:val="Normal"/>
    <w:link w:val="FooterChar"/>
    <w:uiPriority w:val="99"/>
    <w:unhideWhenUsed/>
    <w:rsid w:val="00AC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9D"/>
  </w:style>
  <w:style w:type="character" w:styleId="CommentReference">
    <w:name w:val="annotation reference"/>
    <w:basedOn w:val="DefaultParagraphFont"/>
    <w:uiPriority w:val="99"/>
    <w:semiHidden/>
    <w:unhideWhenUsed/>
    <w:rsid w:val="00F90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E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0E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3A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A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A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A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3AF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8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4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30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30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997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sttcharity.org.uk/what-we-do/our-programmes/multiple-long-term-condi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sttcharity.org.uk/get-involved/news-and-opinion/news/seven-new-projects-explore-long-term-conditions-urban-plac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hpresearchoffice@kcl.ac.u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cmedsci.ac.uk/file-download/82222577" TargetMode="External"/><Relationship Id="rId1" Type="http://schemas.openxmlformats.org/officeDocument/2006/relationships/hyperlink" Target="https://www.gsttcharity.org.uk/sites/default/files/GSTTC_MLTC_Report_201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A53BF18CC474897BDBD43886B4AF2" ma:contentTypeVersion="8" ma:contentTypeDescription="Create a new document." ma:contentTypeScope="" ma:versionID="7f22df14a33c2bc7c7112197917055eb">
  <xsd:schema xmlns:xsd="http://www.w3.org/2001/XMLSchema" xmlns:xs="http://www.w3.org/2001/XMLSchema" xmlns:p="http://schemas.microsoft.com/office/2006/metadata/properties" xmlns:ns3="12ff8b03-308d-4279-b989-9f255de5c1e5" targetNamespace="http://schemas.microsoft.com/office/2006/metadata/properties" ma:root="true" ma:fieldsID="7cfce9cdc053688327459c8788aa395b" ns3:_="">
    <xsd:import namespace="12ff8b03-308d-4279-b989-9f255de5c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f8b03-308d-4279-b989-9f255de5c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BD58-608C-424B-9E8E-8D3A7B8BE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f8b03-308d-4279-b989-9f255de5c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63FE1-A6C0-4A31-8EBE-C4C01741C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3D9443-BAE6-4219-8631-43D53093E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B798C-C4B0-4985-83FB-498F646E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Christopher</dc:creator>
  <cp:keywords/>
  <dc:description/>
  <cp:lastModifiedBy>Bird, Christopher</cp:lastModifiedBy>
  <cp:revision>2</cp:revision>
  <dcterms:created xsi:type="dcterms:W3CDTF">2020-03-03T17:41:00Z</dcterms:created>
  <dcterms:modified xsi:type="dcterms:W3CDTF">2020-03-03T17:41:00Z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0x01010007DA53BF18CC474897BDBD43886B4AF2</vt:lpwstr>
  </property>
</Properties>
</file>