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6C15" w14:textId="77777777" w:rsidR="00CA00BC" w:rsidRDefault="00CA00BC" w:rsidP="00CA00BC">
      <w:pPr>
        <w:pStyle w:val="Default"/>
      </w:pPr>
      <w:bookmarkStart w:id="0" w:name="_GoBack"/>
      <w:bookmarkEnd w:id="0"/>
    </w:p>
    <w:p w14:paraId="5C761494" w14:textId="77777777" w:rsidR="00CA00BC" w:rsidRDefault="00CA00BC" w:rsidP="00CA00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Independent Chair </w:t>
      </w:r>
    </w:p>
    <w:p w14:paraId="39005F63" w14:textId="77777777" w:rsidR="00CA00BC" w:rsidRDefault="00CA00BC" w:rsidP="00CA00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Professor Tom MacDonald, QMUL, Dean for Research, Former Chair of Non-Clinical Training and Career Development at the MRC; former MRC PSMB member </w:t>
      </w:r>
    </w:p>
    <w:p w14:paraId="5E5828D6" w14:textId="77777777" w:rsidR="00CA00BC" w:rsidRDefault="00CA00BC" w:rsidP="00CA00BC">
      <w:pPr>
        <w:pStyle w:val="Default"/>
        <w:rPr>
          <w:b/>
          <w:bCs/>
          <w:sz w:val="20"/>
          <w:szCs w:val="20"/>
        </w:rPr>
      </w:pPr>
    </w:p>
    <w:p w14:paraId="77238BB4" w14:textId="77777777" w:rsidR="00CA00BC" w:rsidRDefault="00CA00BC" w:rsidP="00CA00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External members </w:t>
      </w:r>
    </w:p>
    <w:p w14:paraId="29B38329" w14:textId="77777777" w:rsidR="003F1532" w:rsidRDefault="00CA00BC" w:rsidP="00CA00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Dr Olivier Harari, Vice President for Therapeutic Areas in Early Clinical Development and E</w:t>
      </w:r>
      <w:r w:rsidR="003F1532">
        <w:rPr>
          <w:sz w:val="20"/>
          <w:szCs w:val="20"/>
        </w:rPr>
        <w:t>xperimental Sciences, Regeneron</w:t>
      </w:r>
    </w:p>
    <w:p w14:paraId="66BB7EA7" w14:textId="77777777" w:rsidR="00CA00BC" w:rsidRDefault="00CA00BC" w:rsidP="00CA00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Professor Anant Parekh, Oxford University </w:t>
      </w:r>
    </w:p>
    <w:p w14:paraId="41F6C6CD" w14:textId="77777777"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Dr Andrew Walsh, Director, Academic Liaison, GSK </w:t>
      </w:r>
    </w:p>
    <w:p w14:paraId="33358329" w14:textId="77777777" w:rsidR="00CA00BC" w:rsidRDefault="00CA00BC" w:rsidP="00CA00BC">
      <w:pPr>
        <w:pStyle w:val="Default"/>
        <w:rPr>
          <w:b/>
          <w:bCs/>
          <w:sz w:val="20"/>
          <w:szCs w:val="20"/>
        </w:rPr>
      </w:pPr>
    </w:p>
    <w:p w14:paraId="26F589D2" w14:textId="77777777" w:rsidR="00CA00BC" w:rsidRDefault="00CA00BC" w:rsidP="00CA00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Internal members </w:t>
      </w:r>
    </w:p>
    <w:p w14:paraId="34B51388" w14:textId="77777777"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Matthew Hotopf, BRC Director (SLAM) </w:t>
      </w:r>
    </w:p>
    <w:p w14:paraId="21BB24DF" w14:textId="77777777"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Mike Malim FRS, Head of Division of Immunology, Infection &amp; Inflammatory Disease; former MRC IIB member </w:t>
      </w:r>
    </w:p>
    <w:p w14:paraId="23823809" w14:textId="77777777"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Reza Razavi, Vice Principal for Research and King’s Health Partners Director of Research, Professor of Paediatric Cardiovascular Science; Chair of Wellcome Trust Translation Programme Advisory Group </w:t>
      </w:r>
    </w:p>
    <w:p w14:paraId="55AC6D83" w14:textId="77777777"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Simon Howell, Former Executive Dean of Faculty of Life Sciences and Medicine </w:t>
      </w:r>
    </w:p>
    <w:p w14:paraId="52F215ED" w14:textId="77777777"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Alberto Sanchez-Fueyo, Head of Liver Sciences </w:t>
      </w:r>
    </w:p>
    <w:p w14:paraId="2C400F0C" w14:textId="77777777"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Stuart Bevan, MRC Major Awards Committee panel member </w:t>
      </w:r>
    </w:p>
    <w:p w14:paraId="308E130E" w14:textId="77777777"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Oliver Howes </w:t>
      </w:r>
    </w:p>
    <w:p w14:paraId="557DD5CE" w14:textId="77777777"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Declan Murphy, Head of Department of Forensic and Neurodevelopmental Sciences, Director of Mortimer D Sackler Centre for Translational and Developmental Neurosciences, MRC NMHB member </w:t>
      </w:r>
    </w:p>
    <w:p w14:paraId="578011E2" w14:textId="77777777" w:rsidR="00CA00BC" w:rsidRPr="00CA00BC" w:rsidRDefault="00CA00BC" w:rsidP="00CA00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A00BC">
        <w:rPr>
          <w:rFonts w:ascii="Verdana" w:hAnsi="Verdana" w:cs="Verdana"/>
          <w:color w:val="000000"/>
          <w:sz w:val="20"/>
          <w:szCs w:val="20"/>
        </w:rPr>
        <w:t xml:space="preserve">Professor Lucilla Poston, Head of Division of Women’s Health, ex MRC PSMB member, MRC Global Health Overview Group </w:t>
      </w:r>
    </w:p>
    <w:p w14:paraId="673AE0F8" w14:textId="77777777" w:rsidR="003F1532" w:rsidRPr="003F1532" w:rsidRDefault="003F1532" w:rsidP="003F15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F1532">
        <w:rPr>
          <w:rFonts w:ascii="Verdana" w:hAnsi="Verdana" w:cs="Verdana"/>
          <w:color w:val="000000"/>
          <w:sz w:val="20"/>
          <w:szCs w:val="20"/>
        </w:rPr>
        <w:t xml:space="preserve">Professor Cathy Shanahan, Professor of Cellular Signalling, BHF Centre of Excellence </w:t>
      </w:r>
    </w:p>
    <w:p w14:paraId="58D56A13" w14:textId="77777777" w:rsidR="003F1532" w:rsidRPr="003F1532" w:rsidRDefault="003F1532" w:rsidP="003F15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F1532">
        <w:rPr>
          <w:rFonts w:ascii="Verdana" w:hAnsi="Verdana" w:cs="Verdana"/>
          <w:color w:val="000000"/>
          <w:sz w:val="20"/>
          <w:szCs w:val="20"/>
        </w:rPr>
        <w:t xml:space="preserve">Professor Karen Steel FRS, Professor of Sensory Function, Wolfson Centre for Age-Related Diseases </w:t>
      </w:r>
    </w:p>
    <w:p w14:paraId="0E534EE5" w14:textId="77777777" w:rsidR="003F1532" w:rsidRPr="003F1532" w:rsidRDefault="003F1532" w:rsidP="003F15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F1532">
        <w:rPr>
          <w:rFonts w:ascii="Verdana" w:hAnsi="Verdana" w:cs="Verdana"/>
          <w:color w:val="000000"/>
          <w:sz w:val="20"/>
          <w:szCs w:val="20"/>
        </w:rPr>
        <w:t xml:space="preserve">Professor Sally Barrington, NIHR Research Professor, PET Centre. </w:t>
      </w:r>
    </w:p>
    <w:p w14:paraId="2D066190" w14:textId="77777777" w:rsidR="003F1532" w:rsidRPr="003F1532" w:rsidRDefault="003F1532" w:rsidP="003F15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F1532">
        <w:rPr>
          <w:rFonts w:ascii="Verdana" w:hAnsi="Verdana" w:cs="Verdana"/>
          <w:color w:val="000000"/>
          <w:sz w:val="20"/>
          <w:szCs w:val="20"/>
        </w:rPr>
        <w:t xml:space="preserve">Professor Leonie Taams, Director of the Centre for Inflammation Biology and Cancer Immunology (CIBCI), Head of Department of Inflammation Biology </w:t>
      </w:r>
    </w:p>
    <w:p w14:paraId="68D997E5" w14:textId="77777777" w:rsidR="00CA00BC" w:rsidRPr="00CA00BC" w:rsidRDefault="003F1532" w:rsidP="003F1532">
      <w:pPr>
        <w:rPr>
          <w:rFonts w:ascii="Verdana" w:hAnsi="Verdana"/>
        </w:rPr>
      </w:pPr>
      <w:r w:rsidRPr="003F1532">
        <w:rPr>
          <w:rFonts w:ascii="Verdana" w:hAnsi="Verdana" w:cs="Verdana"/>
          <w:color w:val="000000"/>
          <w:sz w:val="20"/>
          <w:szCs w:val="20"/>
        </w:rPr>
        <w:t xml:space="preserve">Professor Seb Ourselin, Head of School of Biomedical </w:t>
      </w:r>
      <w:r>
        <w:rPr>
          <w:rFonts w:ascii="Verdana" w:hAnsi="Verdana" w:cs="Verdana"/>
          <w:color w:val="000000"/>
          <w:sz w:val="20"/>
          <w:szCs w:val="20"/>
        </w:rPr>
        <w:t>Engineering and Imaging Science</w:t>
      </w:r>
    </w:p>
    <w:sectPr w:rsidR="00CA00BC" w:rsidRPr="00CA0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BC"/>
    <w:rsid w:val="00112B1C"/>
    <w:rsid w:val="00240C37"/>
    <w:rsid w:val="003F1532"/>
    <w:rsid w:val="00533298"/>
    <w:rsid w:val="006C0E9C"/>
    <w:rsid w:val="00CA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6B99"/>
  <w15:chartTrackingRefBased/>
  <w15:docId w15:val="{3FA41368-C5D7-424A-BB55-CA4C51D3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0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BE3BD461764408CDE73D5693ED29C" ma:contentTypeVersion="12" ma:contentTypeDescription="Create a new document." ma:contentTypeScope="" ma:versionID="65c66524a8e35a47ad5ca61c152d9bd9">
  <xsd:schema xmlns:xsd="http://www.w3.org/2001/XMLSchema" xmlns:xs="http://www.w3.org/2001/XMLSchema" xmlns:p="http://schemas.microsoft.com/office/2006/metadata/properties" xmlns:ns3="561781c2-2833-4ddc-8318-c344bb444877" xmlns:ns4="257cf6cb-b4cb-4a4f-86b6-71f8b6a54b06" targetNamespace="http://schemas.microsoft.com/office/2006/metadata/properties" ma:root="true" ma:fieldsID="2230fd1c134bf6f6460edd432c59b7db" ns3:_="" ns4:_="">
    <xsd:import namespace="561781c2-2833-4ddc-8318-c344bb444877"/>
    <xsd:import namespace="257cf6cb-b4cb-4a4f-86b6-71f8b6a54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781c2-2833-4ddc-8318-c344bb444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cf6cb-b4cb-4a4f-86b6-71f8b6a54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94401-AE8B-4B05-82A2-896F25448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781c2-2833-4ddc-8318-c344bb444877"/>
    <ds:schemaRef ds:uri="257cf6cb-b4cb-4a4f-86b6-71f8b6a54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81785-54F3-473D-A3E4-AE7044218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C75BB-EB00-4ECF-AE55-0053FCADA7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Christopher</dc:creator>
  <cp:keywords/>
  <dc:description/>
  <cp:lastModifiedBy>Goodall, Emelia</cp:lastModifiedBy>
  <cp:revision>2</cp:revision>
  <dcterms:created xsi:type="dcterms:W3CDTF">2020-04-09T16:14:00Z</dcterms:created>
  <dcterms:modified xsi:type="dcterms:W3CDTF">2020-04-09T16:14:00Z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0x010100788BE3BD461764408CDE73D5693ED29C</vt:lpwstr>
  </property>
</Properties>
</file>