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4699" w14:textId="77777777" w:rsidR="00A66239" w:rsidRPr="00B6089C" w:rsidRDefault="00A66239" w:rsidP="00A66239">
      <w:pPr>
        <w:spacing w:after="0" w:line="240" w:lineRule="auto"/>
        <w:jc w:val="center"/>
        <w:rPr>
          <w:rFonts w:ascii="Arial" w:hAnsi="Arial" w:cs="Arial"/>
          <w:b/>
        </w:rPr>
      </w:pPr>
    </w:p>
    <w:p w14:paraId="63FE8B79" w14:textId="77777777" w:rsidR="00A66239" w:rsidRPr="00A66239" w:rsidRDefault="00A66239" w:rsidP="00A66239">
      <w:pPr>
        <w:spacing w:after="0" w:line="240" w:lineRule="auto"/>
        <w:jc w:val="center"/>
        <w:rPr>
          <w:rFonts w:cs="Arial"/>
          <w:b/>
        </w:rPr>
      </w:pPr>
      <w:r w:rsidRPr="00A66239">
        <w:rPr>
          <w:rFonts w:cs="Arial"/>
          <w:b/>
        </w:rPr>
        <w:t>JOB DESCRIPTION</w:t>
      </w:r>
    </w:p>
    <w:p w14:paraId="37399EC4" w14:textId="6B64506E" w:rsidR="00A66239" w:rsidRDefault="00A66239" w:rsidP="00A66239">
      <w:pPr>
        <w:spacing w:after="0" w:line="240" w:lineRule="auto"/>
        <w:jc w:val="center"/>
        <w:rPr>
          <w:rFonts w:cs="Arial"/>
          <w:b/>
        </w:rPr>
      </w:pPr>
    </w:p>
    <w:tbl>
      <w:tblPr>
        <w:tblW w:w="10217" w:type="dxa"/>
        <w:tblInd w:w="-459" w:type="dxa"/>
        <w:tblLayout w:type="fixed"/>
        <w:tblLook w:val="0000" w:firstRow="0" w:lastRow="0" w:firstColumn="0" w:lastColumn="0" w:noHBand="0" w:noVBand="0"/>
      </w:tblPr>
      <w:tblGrid>
        <w:gridCol w:w="2297"/>
        <w:gridCol w:w="7920"/>
      </w:tblGrid>
      <w:tr w:rsidR="00A66239" w:rsidRPr="00A66239" w14:paraId="1841A29E" w14:textId="77777777" w:rsidTr="00761D63">
        <w:trPr>
          <w:cantSplit/>
        </w:trPr>
        <w:tc>
          <w:tcPr>
            <w:tcW w:w="2297" w:type="dxa"/>
            <w:tcBorders>
              <w:top w:val="single" w:sz="4" w:space="0" w:color="000000"/>
              <w:left w:val="single" w:sz="4" w:space="0" w:color="000000"/>
              <w:bottom w:val="single" w:sz="4" w:space="0" w:color="000000"/>
            </w:tcBorders>
            <w:vAlign w:val="center"/>
          </w:tcPr>
          <w:p w14:paraId="388C8EB5" w14:textId="77777777" w:rsidR="00A66239" w:rsidRPr="00A66239" w:rsidRDefault="00A66239" w:rsidP="00422A93">
            <w:pPr>
              <w:snapToGrid w:val="0"/>
              <w:spacing w:before="60" w:line="240" w:lineRule="auto"/>
              <w:rPr>
                <w:rFonts w:cs="Arial"/>
                <w:b/>
              </w:rPr>
            </w:pPr>
            <w:r w:rsidRPr="00A66239">
              <w:rPr>
                <w:rFonts w:cs="Arial"/>
                <w:b/>
              </w:rPr>
              <w:t>Post Title:</w:t>
            </w:r>
          </w:p>
        </w:tc>
        <w:tc>
          <w:tcPr>
            <w:tcW w:w="7920" w:type="dxa"/>
            <w:tcBorders>
              <w:top w:val="single" w:sz="4" w:space="0" w:color="000000"/>
              <w:left w:val="single" w:sz="4" w:space="0" w:color="000000"/>
              <w:bottom w:val="single" w:sz="4" w:space="0" w:color="000000"/>
              <w:right w:val="single" w:sz="4" w:space="0" w:color="000000"/>
            </w:tcBorders>
            <w:vAlign w:val="center"/>
          </w:tcPr>
          <w:p w14:paraId="034B96DD" w14:textId="5E577DF2" w:rsidR="00A66239" w:rsidRPr="006B34CF" w:rsidRDefault="001B1F1C" w:rsidP="00761D63">
            <w:pPr>
              <w:pStyle w:val="Heading2"/>
              <w:rPr>
                <w:rFonts w:asciiTheme="minorHAnsi" w:hAnsiTheme="minorHAnsi" w:cstheme="minorHAnsi"/>
                <w:color w:val="auto"/>
                <w:sz w:val="22"/>
                <w:szCs w:val="22"/>
              </w:rPr>
            </w:pPr>
            <w:r w:rsidRPr="006B34CF">
              <w:rPr>
                <w:rFonts w:asciiTheme="minorHAnsi" w:hAnsiTheme="minorHAnsi" w:cstheme="minorHAnsi"/>
                <w:color w:val="auto"/>
                <w:sz w:val="22"/>
                <w:szCs w:val="22"/>
              </w:rPr>
              <w:t xml:space="preserve">Clinical Academic </w:t>
            </w:r>
            <w:r w:rsidR="00506149" w:rsidRPr="006B34CF">
              <w:rPr>
                <w:rFonts w:asciiTheme="minorHAnsi" w:hAnsiTheme="minorHAnsi" w:cstheme="minorHAnsi"/>
                <w:color w:val="auto"/>
                <w:sz w:val="22"/>
                <w:szCs w:val="22"/>
              </w:rPr>
              <w:t>Partnership Joint</w:t>
            </w:r>
            <w:r w:rsidR="006B34CF">
              <w:rPr>
                <w:rFonts w:asciiTheme="minorHAnsi" w:hAnsiTheme="minorHAnsi" w:cstheme="minorHAnsi"/>
                <w:color w:val="auto"/>
                <w:sz w:val="22"/>
                <w:szCs w:val="22"/>
              </w:rPr>
              <w:t xml:space="preserve"> </w:t>
            </w:r>
            <w:r w:rsidR="00A66239" w:rsidRPr="006B34CF">
              <w:rPr>
                <w:rFonts w:asciiTheme="minorHAnsi" w:hAnsiTheme="minorHAnsi" w:cstheme="minorHAnsi"/>
                <w:color w:val="auto"/>
                <w:sz w:val="22"/>
                <w:szCs w:val="22"/>
              </w:rPr>
              <w:t>Director</w:t>
            </w:r>
          </w:p>
          <w:p w14:paraId="05E75F5A" w14:textId="39D5019F" w:rsidR="00A66239" w:rsidRPr="00A66239" w:rsidRDefault="001B1F1C" w:rsidP="00761D63">
            <w:pPr>
              <w:pStyle w:val="Heading2"/>
              <w:rPr>
                <w:rFonts w:cs="Arial"/>
                <w:b/>
              </w:rPr>
            </w:pPr>
            <w:r w:rsidRPr="006B34CF">
              <w:rPr>
                <w:rFonts w:asciiTheme="minorHAnsi" w:hAnsiTheme="minorHAnsi" w:cstheme="minorHAnsi"/>
                <w:color w:val="auto"/>
                <w:sz w:val="22"/>
                <w:szCs w:val="22"/>
              </w:rPr>
              <w:t>KHP Diabetes, Endocrinology and Obesity</w:t>
            </w:r>
            <w:r w:rsidR="00934D6A" w:rsidRPr="006B34CF">
              <w:rPr>
                <w:rFonts w:asciiTheme="minorHAnsi" w:hAnsiTheme="minorHAnsi" w:cstheme="minorHAnsi"/>
                <w:color w:val="auto"/>
                <w:sz w:val="22"/>
                <w:szCs w:val="22"/>
              </w:rPr>
              <w:t xml:space="preserve"> (DEO)</w:t>
            </w:r>
          </w:p>
        </w:tc>
      </w:tr>
      <w:tr w:rsidR="00A66239" w:rsidRPr="00A66239" w14:paraId="12502944" w14:textId="77777777" w:rsidTr="00761D63">
        <w:trPr>
          <w:cantSplit/>
        </w:trPr>
        <w:tc>
          <w:tcPr>
            <w:tcW w:w="2297" w:type="dxa"/>
            <w:tcBorders>
              <w:top w:val="single" w:sz="4" w:space="0" w:color="000000"/>
              <w:left w:val="single" w:sz="4" w:space="0" w:color="000000"/>
              <w:bottom w:val="single" w:sz="4" w:space="0" w:color="000000"/>
            </w:tcBorders>
            <w:vAlign w:val="center"/>
          </w:tcPr>
          <w:p w14:paraId="3D2E68E8" w14:textId="2866EE37" w:rsidR="00A66239" w:rsidRPr="00A66239" w:rsidRDefault="00A66239" w:rsidP="00761D63">
            <w:pPr>
              <w:snapToGrid w:val="0"/>
              <w:spacing w:before="60" w:line="240" w:lineRule="auto"/>
              <w:rPr>
                <w:rFonts w:cs="Arial"/>
                <w:b/>
              </w:rPr>
            </w:pPr>
            <w:r w:rsidRPr="00A66239">
              <w:rPr>
                <w:rFonts w:cs="Arial"/>
                <w:b/>
              </w:rPr>
              <w:t>Department/</w:t>
            </w:r>
            <w:r w:rsidR="00761D63">
              <w:rPr>
                <w:rFonts w:cs="Arial"/>
                <w:b/>
              </w:rPr>
              <w:t xml:space="preserve"> </w:t>
            </w:r>
            <w:r w:rsidRPr="00A66239">
              <w:rPr>
                <w:rFonts w:cs="Arial"/>
                <w:b/>
              </w:rPr>
              <w:t>Division/Directorate:</w:t>
            </w:r>
          </w:p>
        </w:tc>
        <w:tc>
          <w:tcPr>
            <w:tcW w:w="7920" w:type="dxa"/>
            <w:tcBorders>
              <w:top w:val="single" w:sz="4" w:space="0" w:color="000000"/>
              <w:left w:val="single" w:sz="4" w:space="0" w:color="000000"/>
              <w:bottom w:val="single" w:sz="4" w:space="0" w:color="000000"/>
              <w:right w:val="single" w:sz="4" w:space="0" w:color="000000"/>
            </w:tcBorders>
            <w:vAlign w:val="center"/>
          </w:tcPr>
          <w:p w14:paraId="387B69D4" w14:textId="77777777" w:rsidR="00A66239" w:rsidRPr="00A66239" w:rsidRDefault="00A66239" w:rsidP="00422A93">
            <w:pPr>
              <w:snapToGrid w:val="0"/>
              <w:spacing w:line="240" w:lineRule="auto"/>
              <w:jc w:val="both"/>
              <w:rPr>
                <w:rFonts w:cs="Arial"/>
              </w:rPr>
            </w:pPr>
            <w:r w:rsidRPr="00A66239">
              <w:rPr>
                <w:rFonts w:cs="Arial"/>
              </w:rPr>
              <w:t>King’s Health Partners (KHP)</w:t>
            </w:r>
          </w:p>
          <w:p w14:paraId="7197CE91" w14:textId="77777777" w:rsidR="00A66239" w:rsidRPr="00A66239" w:rsidRDefault="00A66239" w:rsidP="00422A93">
            <w:pPr>
              <w:snapToGrid w:val="0"/>
              <w:spacing w:line="240" w:lineRule="auto"/>
              <w:jc w:val="both"/>
              <w:rPr>
                <w:rFonts w:cs="Arial"/>
              </w:rPr>
            </w:pPr>
            <w:r w:rsidRPr="00A66239">
              <w:rPr>
                <w:rFonts w:cs="Arial"/>
              </w:rPr>
              <w:t>(NOTE: KHP is not an employing organisation.  Appointees will remain employed by their substantive employer, as one of the partner organisations or be issued an employment contract by one of the partner organisations and hold honorary status with KHP).</w:t>
            </w:r>
          </w:p>
          <w:p w14:paraId="67DC87BC" w14:textId="0E87DFD2" w:rsidR="00A66239" w:rsidRPr="00A66239" w:rsidRDefault="00CE3487" w:rsidP="00422A93">
            <w:pPr>
              <w:snapToGrid w:val="0"/>
              <w:spacing w:before="120" w:line="240" w:lineRule="auto"/>
              <w:jc w:val="both"/>
              <w:rPr>
                <w:rFonts w:cs="Arial"/>
              </w:rPr>
            </w:pPr>
            <w:r>
              <w:rPr>
                <w:rFonts w:cs="Arial"/>
              </w:rPr>
              <w:t>Clinical Academic P</w:t>
            </w:r>
            <w:r w:rsidR="006B34CF">
              <w:rPr>
                <w:rFonts w:cs="Arial"/>
              </w:rPr>
              <w:t>artnership</w:t>
            </w:r>
            <w:r>
              <w:rPr>
                <w:rFonts w:cs="Arial"/>
              </w:rPr>
              <w:t xml:space="preserve"> </w:t>
            </w:r>
            <w:r w:rsidR="00A66239" w:rsidRPr="00A66239">
              <w:rPr>
                <w:rFonts w:cs="Arial"/>
              </w:rPr>
              <w:t>Directors remain accountable under the statutory frameworks within which the four Partner organisations operate in order to comply with their terms of authorisation.  A KHP Honorary Passport will be awarded to enable them to fulfil the role</w:t>
            </w:r>
            <w:r w:rsidR="00934D6A">
              <w:rPr>
                <w:rFonts w:cs="Arial"/>
              </w:rPr>
              <w:t>.</w:t>
            </w:r>
          </w:p>
        </w:tc>
      </w:tr>
      <w:tr w:rsidR="00A66239" w:rsidRPr="00A66239" w14:paraId="20E4FEDD" w14:textId="77777777" w:rsidTr="00761D63">
        <w:trPr>
          <w:cantSplit/>
        </w:trPr>
        <w:tc>
          <w:tcPr>
            <w:tcW w:w="2297" w:type="dxa"/>
            <w:tcBorders>
              <w:top w:val="single" w:sz="4" w:space="0" w:color="000000"/>
              <w:left w:val="single" w:sz="4" w:space="0" w:color="000000"/>
              <w:bottom w:val="single" w:sz="4" w:space="0" w:color="000000"/>
            </w:tcBorders>
            <w:vAlign w:val="center"/>
          </w:tcPr>
          <w:p w14:paraId="284BD3BF" w14:textId="77777777" w:rsidR="00A66239" w:rsidRPr="00A66239" w:rsidRDefault="00A66239" w:rsidP="00422A93">
            <w:pPr>
              <w:snapToGrid w:val="0"/>
              <w:spacing w:before="60" w:line="240" w:lineRule="auto"/>
              <w:rPr>
                <w:rFonts w:cs="Arial"/>
                <w:b/>
              </w:rPr>
            </w:pPr>
            <w:r w:rsidRPr="00A66239">
              <w:rPr>
                <w:rFonts w:cs="Arial"/>
                <w:b/>
              </w:rPr>
              <w:t>Grade and establishment:</w:t>
            </w:r>
          </w:p>
          <w:p w14:paraId="00070927" w14:textId="77777777" w:rsidR="00A66239" w:rsidRPr="00A66239" w:rsidRDefault="00A66239" w:rsidP="00422A93">
            <w:pPr>
              <w:snapToGrid w:val="0"/>
              <w:spacing w:before="60" w:line="240" w:lineRule="auto"/>
              <w:rPr>
                <w:rFonts w:cs="Arial"/>
                <w:b/>
              </w:rPr>
            </w:pPr>
          </w:p>
        </w:tc>
        <w:tc>
          <w:tcPr>
            <w:tcW w:w="7920" w:type="dxa"/>
            <w:tcBorders>
              <w:top w:val="single" w:sz="4" w:space="0" w:color="000000"/>
              <w:left w:val="single" w:sz="4" w:space="0" w:color="000000"/>
              <w:bottom w:val="single" w:sz="4" w:space="0" w:color="000000"/>
              <w:right w:val="single" w:sz="4" w:space="0" w:color="000000"/>
            </w:tcBorders>
            <w:vAlign w:val="center"/>
          </w:tcPr>
          <w:p w14:paraId="28F6CA94" w14:textId="6EB77BEC" w:rsidR="00A66239" w:rsidRPr="00A66239" w:rsidRDefault="00A66239" w:rsidP="00422A93">
            <w:pPr>
              <w:snapToGrid w:val="0"/>
              <w:spacing w:before="120" w:line="240" w:lineRule="auto"/>
              <w:jc w:val="both"/>
              <w:rPr>
                <w:rFonts w:cs="Arial"/>
              </w:rPr>
            </w:pPr>
            <w:r w:rsidRPr="00A66239">
              <w:rPr>
                <w:rFonts w:cs="Arial"/>
              </w:rPr>
              <w:t>Consultant or equivalent if other health professional</w:t>
            </w:r>
            <w:r w:rsidR="00960CB8">
              <w:rPr>
                <w:rFonts w:cs="Arial"/>
              </w:rPr>
              <w:t xml:space="preserve">, </w:t>
            </w:r>
            <w:r w:rsidR="009B494A">
              <w:rPr>
                <w:rFonts w:cs="Arial"/>
              </w:rPr>
              <w:t xml:space="preserve">or </w:t>
            </w:r>
            <w:r w:rsidRPr="00A66239">
              <w:rPr>
                <w:rFonts w:cs="Arial"/>
              </w:rPr>
              <w:t xml:space="preserve">Senior Academic if </w:t>
            </w:r>
            <w:r w:rsidR="00D35750">
              <w:rPr>
                <w:rFonts w:cs="Arial"/>
              </w:rPr>
              <w:t xml:space="preserve">a </w:t>
            </w:r>
            <w:r w:rsidR="00960CB8">
              <w:rPr>
                <w:rFonts w:cs="Arial"/>
              </w:rPr>
              <w:t>King’s College London</w:t>
            </w:r>
            <w:r w:rsidRPr="00A66239">
              <w:rPr>
                <w:rFonts w:cs="Arial"/>
              </w:rPr>
              <w:t xml:space="preserve"> employee.</w:t>
            </w:r>
          </w:p>
          <w:p w14:paraId="08851F61" w14:textId="77777777" w:rsidR="00506149" w:rsidRDefault="00A66239" w:rsidP="00422A93">
            <w:pPr>
              <w:snapToGrid w:val="0"/>
              <w:spacing w:before="120" w:line="240" w:lineRule="auto"/>
              <w:jc w:val="both"/>
              <w:rPr>
                <w:rFonts w:cs="Arial"/>
              </w:rPr>
            </w:pPr>
            <w:r w:rsidRPr="00A66239">
              <w:rPr>
                <w:rFonts w:cs="Arial"/>
              </w:rPr>
              <w:t xml:space="preserve">Inter-disciplinary job share arrangements </w:t>
            </w:r>
            <w:r w:rsidR="00A376AB">
              <w:rPr>
                <w:rFonts w:cs="Arial"/>
              </w:rPr>
              <w:t xml:space="preserve">are encouraged </w:t>
            </w:r>
            <w:r w:rsidRPr="00A66239">
              <w:rPr>
                <w:rFonts w:cs="Arial"/>
              </w:rPr>
              <w:t xml:space="preserve">for this </w:t>
            </w:r>
            <w:r w:rsidR="00A376AB">
              <w:rPr>
                <w:rFonts w:cs="Arial"/>
              </w:rPr>
              <w:t>role</w:t>
            </w:r>
            <w:r w:rsidRPr="00A66239">
              <w:rPr>
                <w:rFonts w:cs="Arial"/>
              </w:rPr>
              <w:t>. Typically, this will be in the form of a shared application between clinician</w:t>
            </w:r>
            <w:r w:rsidR="00A376AB">
              <w:rPr>
                <w:rFonts w:cs="Arial"/>
              </w:rPr>
              <w:t>s from three Trusts</w:t>
            </w:r>
            <w:r w:rsidRPr="00A66239">
              <w:rPr>
                <w:rFonts w:cs="Arial"/>
              </w:rPr>
              <w:t xml:space="preserve"> and an academic.  </w:t>
            </w:r>
          </w:p>
          <w:p w14:paraId="377BBBEB" w14:textId="72141C0D" w:rsidR="00A66239" w:rsidRPr="00A66239" w:rsidRDefault="00A66239" w:rsidP="00422A93">
            <w:pPr>
              <w:snapToGrid w:val="0"/>
              <w:spacing w:before="120" w:line="240" w:lineRule="auto"/>
              <w:jc w:val="both"/>
              <w:rPr>
                <w:rFonts w:cs="Arial"/>
              </w:rPr>
            </w:pPr>
            <w:r w:rsidRPr="00A66239">
              <w:rPr>
                <w:rFonts w:cs="Arial"/>
              </w:rPr>
              <w:t xml:space="preserve">Applicants must satisfy the full range of essential criteria within their joint application. </w:t>
            </w:r>
          </w:p>
        </w:tc>
      </w:tr>
      <w:tr w:rsidR="001578F0" w:rsidRPr="00A66239" w14:paraId="3ED637D4" w14:textId="77777777" w:rsidTr="00761D63">
        <w:trPr>
          <w:cantSplit/>
        </w:trPr>
        <w:tc>
          <w:tcPr>
            <w:tcW w:w="2297" w:type="dxa"/>
            <w:tcBorders>
              <w:top w:val="single" w:sz="4" w:space="0" w:color="000000"/>
              <w:left w:val="single" w:sz="4" w:space="0" w:color="000000"/>
              <w:bottom w:val="single" w:sz="4" w:space="0" w:color="000000"/>
            </w:tcBorders>
            <w:vAlign w:val="center"/>
          </w:tcPr>
          <w:p w14:paraId="7A1CAF38" w14:textId="75F7D8A9" w:rsidR="001578F0" w:rsidRPr="00A66239" w:rsidRDefault="001578F0" w:rsidP="00422A93">
            <w:pPr>
              <w:snapToGrid w:val="0"/>
              <w:spacing w:before="60" w:line="240" w:lineRule="auto"/>
              <w:rPr>
                <w:rFonts w:cs="Arial"/>
                <w:b/>
              </w:rPr>
            </w:pPr>
            <w:r>
              <w:rPr>
                <w:rFonts w:cs="Arial"/>
                <w:b/>
              </w:rPr>
              <w:t>Tenure</w:t>
            </w:r>
          </w:p>
        </w:tc>
        <w:tc>
          <w:tcPr>
            <w:tcW w:w="7920" w:type="dxa"/>
            <w:tcBorders>
              <w:top w:val="single" w:sz="4" w:space="0" w:color="000000"/>
              <w:left w:val="single" w:sz="4" w:space="0" w:color="000000"/>
              <w:bottom w:val="single" w:sz="4" w:space="0" w:color="000000"/>
              <w:right w:val="single" w:sz="4" w:space="0" w:color="000000"/>
            </w:tcBorders>
            <w:vAlign w:val="center"/>
          </w:tcPr>
          <w:p w14:paraId="397B00B0" w14:textId="4A297E16" w:rsidR="001578F0" w:rsidRPr="00A66239" w:rsidRDefault="001578F0" w:rsidP="00422A93">
            <w:pPr>
              <w:snapToGrid w:val="0"/>
              <w:spacing w:before="120" w:line="240" w:lineRule="auto"/>
              <w:jc w:val="both"/>
              <w:rPr>
                <w:rFonts w:cs="Arial"/>
              </w:rPr>
            </w:pPr>
            <w:r>
              <w:rPr>
                <w:rFonts w:cs="Arial"/>
              </w:rPr>
              <w:t xml:space="preserve">3 years </w:t>
            </w:r>
            <w:r w:rsidR="00F73540">
              <w:rPr>
                <w:rFonts w:cs="Arial"/>
              </w:rPr>
              <w:t>(postholders will be required to undertake the KHP 360 appraisal and coaching</w:t>
            </w:r>
            <w:r w:rsidR="007A1ABD">
              <w:rPr>
                <w:rFonts w:cs="Arial"/>
              </w:rPr>
              <w:t xml:space="preserve"> as part of their role)</w:t>
            </w:r>
          </w:p>
        </w:tc>
      </w:tr>
      <w:tr w:rsidR="00A66239" w:rsidRPr="00A66239" w14:paraId="5BF4C901" w14:textId="77777777" w:rsidTr="00761D63">
        <w:trPr>
          <w:cantSplit/>
        </w:trPr>
        <w:tc>
          <w:tcPr>
            <w:tcW w:w="2297" w:type="dxa"/>
            <w:tcBorders>
              <w:top w:val="single" w:sz="4" w:space="0" w:color="000000"/>
              <w:left w:val="single" w:sz="4" w:space="0" w:color="000000"/>
              <w:bottom w:val="single" w:sz="4" w:space="0" w:color="000000"/>
            </w:tcBorders>
            <w:vAlign w:val="center"/>
          </w:tcPr>
          <w:p w14:paraId="0C122B9F" w14:textId="77777777" w:rsidR="00A66239" w:rsidRPr="00A66239" w:rsidRDefault="00A66239" w:rsidP="00422A93">
            <w:pPr>
              <w:snapToGrid w:val="0"/>
              <w:spacing w:before="60" w:line="240" w:lineRule="auto"/>
              <w:rPr>
                <w:rFonts w:cs="Arial"/>
                <w:b/>
              </w:rPr>
            </w:pPr>
            <w:r w:rsidRPr="00A66239">
              <w:rPr>
                <w:rFonts w:cs="Arial"/>
                <w:b/>
              </w:rPr>
              <w:t>Responsible to:</w:t>
            </w:r>
          </w:p>
        </w:tc>
        <w:tc>
          <w:tcPr>
            <w:tcW w:w="7920" w:type="dxa"/>
            <w:tcBorders>
              <w:top w:val="single" w:sz="4" w:space="0" w:color="000000"/>
              <w:left w:val="single" w:sz="4" w:space="0" w:color="000000"/>
              <w:bottom w:val="single" w:sz="4" w:space="0" w:color="000000"/>
              <w:right w:val="single" w:sz="4" w:space="0" w:color="000000"/>
            </w:tcBorders>
            <w:vAlign w:val="center"/>
          </w:tcPr>
          <w:p w14:paraId="3020233E" w14:textId="77777777" w:rsidR="00A66239" w:rsidRPr="00A66239" w:rsidRDefault="00A66239" w:rsidP="00422A93">
            <w:pPr>
              <w:snapToGrid w:val="0"/>
              <w:spacing w:before="120" w:line="240" w:lineRule="auto"/>
              <w:jc w:val="both"/>
              <w:rPr>
                <w:rFonts w:cs="Arial"/>
              </w:rPr>
            </w:pPr>
            <w:r w:rsidRPr="00A66239">
              <w:rPr>
                <w:rFonts w:cs="Arial"/>
              </w:rPr>
              <w:t>Executive Director, King’s Health Partners (KHP)</w:t>
            </w:r>
          </w:p>
        </w:tc>
      </w:tr>
      <w:tr w:rsidR="00A66239" w:rsidRPr="00A66239" w14:paraId="6EF46ABC" w14:textId="77777777" w:rsidTr="00761D63">
        <w:trPr>
          <w:cantSplit/>
        </w:trPr>
        <w:tc>
          <w:tcPr>
            <w:tcW w:w="2297" w:type="dxa"/>
            <w:tcBorders>
              <w:top w:val="single" w:sz="4" w:space="0" w:color="000000"/>
              <w:left w:val="single" w:sz="4" w:space="0" w:color="000000"/>
              <w:bottom w:val="single" w:sz="4" w:space="0" w:color="000000"/>
            </w:tcBorders>
            <w:vAlign w:val="center"/>
          </w:tcPr>
          <w:p w14:paraId="58D01024" w14:textId="77777777" w:rsidR="00A66239" w:rsidRPr="00A66239" w:rsidRDefault="00A66239" w:rsidP="00422A93">
            <w:pPr>
              <w:snapToGrid w:val="0"/>
              <w:spacing w:before="60" w:line="240" w:lineRule="auto"/>
              <w:rPr>
                <w:rFonts w:cs="Arial"/>
                <w:b/>
              </w:rPr>
            </w:pPr>
            <w:r w:rsidRPr="00A66239">
              <w:rPr>
                <w:rFonts w:cs="Arial"/>
                <w:b/>
              </w:rPr>
              <w:t>Accountable to:</w:t>
            </w:r>
          </w:p>
        </w:tc>
        <w:tc>
          <w:tcPr>
            <w:tcW w:w="7920" w:type="dxa"/>
            <w:tcBorders>
              <w:top w:val="single" w:sz="4" w:space="0" w:color="000000"/>
              <w:left w:val="single" w:sz="4" w:space="0" w:color="000000"/>
              <w:bottom w:val="single" w:sz="4" w:space="0" w:color="000000"/>
              <w:right w:val="single" w:sz="4" w:space="0" w:color="000000"/>
            </w:tcBorders>
            <w:vAlign w:val="center"/>
          </w:tcPr>
          <w:p w14:paraId="41081AAE" w14:textId="680BCFD3" w:rsidR="00A66239" w:rsidRPr="00A66239" w:rsidRDefault="00934D6A" w:rsidP="00422A93">
            <w:pPr>
              <w:snapToGrid w:val="0"/>
              <w:spacing w:before="120" w:line="240" w:lineRule="auto"/>
              <w:jc w:val="both"/>
              <w:rPr>
                <w:rFonts w:cs="Arial"/>
              </w:rPr>
            </w:pPr>
            <w:r>
              <w:rPr>
                <w:rFonts w:cs="Arial"/>
              </w:rPr>
              <w:t>KHP DEO Clinical Academic</w:t>
            </w:r>
            <w:r w:rsidR="00A66239" w:rsidRPr="00A66239">
              <w:rPr>
                <w:rFonts w:cs="Arial"/>
              </w:rPr>
              <w:t xml:space="preserve"> Programme Board</w:t>
            </w:r>
          </w:p>
        </w:tc>
      </w:tr>
    </w:tbl>
    <w:p w14:paraId="31AFB339" w14:textId="77777777" w:rsidR="00A66239" w:rsidRPr="00A66239" w:rsidRDefault="00A66239" w:rsidP="00A66239">
      <w:pPr>
        <w:spacing w:after="0" w:line="240" w:lineRule="auto"/>
        <w:rPr>
          <w:rFonts w:cs="Arial"/>
        </w:rPr>
      </w:pPr>
    </w:p>
    <w:tbl>
      <w:tblPr>
        <w:tblW w:w="10217" w:type="dxa"/>
        <w:tblInd w:w="-459" w:type="dxa"/>
        <w:tblLayout w:type="fixed"/>
        <w:tblLook w:val="0000" w:firstRow="0" w:lastRow="0" w:firstColumn="0" w:lastColumn="0" w:noHBand="0" w:noVBand="0"/>
      </w:tblPr>
      <w:tblGrid>
        <w:gridCol w:w="10217"/>
      </w:tblGrid>
      <w:tr w:rsidR="00A66239" w:rsidRPr="00A66239" w14:paraId="6172DE3A" w14:textId="77777777" w:rsidTr="00422A93">
        <w:tc>
          <w:tcPr>
            <w:tcW w:w="10217" w:type="dxa"/>
            <w:tcBorders>
              <w:top w:val="single" w:sz="4" w:space="0" w:color="000000"/>
              <w:left w:val="single" w:sz="4" w:space="0" w:color="000000"/>
              <w:bottom w:val="single" w:sz="4" w:space="0" w:color="000000"/>
              <w:right w:val="single" w:sz="4" w:space="0" w:color="000000"/>
            </w:tcBorders>
            <w:shd w:val="clear" w:color="auto" w:fill="999999"/>
          </w:tcPr>
          <w:p w14:paraId="3C7B4E2D" w14:textId="77777777" w:rsidR="00A66239" w:rsidRPr="00A66239" w:rsidRDefault="00A66239" w:rsidP="00422A93">
            <w:pPr>
              <w:snapToGrid w:val="0"/>
              <w:spacing w:before="120" w:line="240" w:lineRule="auto"/>
              <w:rPr>
                <w:rFonts w:cs="Arial"/>
                <w:b/>
                <w:color w:val="FFFFFF"/>
              </w:rPr>
            </w:pPr>
            <w:r w:rsidRPr="00A66239">
              <w:rPr>
                <w:rFonts w:cs="Arial"/>
                <w:b/>
                <w:color w:val="FFFFFF"/>
              </w:rPr>
              <w:t>TERMS</w:t>
            </w:r>
          </w:p>
        </w:tc>
      </w:tr>
      <w:tr w:rsidR="00A66239" w:rsidRPr="00A66239" w14:paraId="472AE24A" w14:textId="77777777" w:rsidTr="00422A93">
        <w:tc>
          <w:tcPr>
            <w:tcW w:w="10217" w:type="dxa"/>
            <w:tcBorders>
              <w:top w:val="single" w:sz="4" w:space="0" w:color="000000"/>
              <w:left w:val="single" w:sz="4" w:space="0" w:color="000000"/>
              <w:bottom w:val="single" w:sz="4" w:space="0" w:color="000000"/>
              <w:right w:val="single" w:sz="4" w:space="0" w:color="000000"/>
            </w:tcBorders>
          </w:tcPr>
          <w:p w14:paraId="0EC434A9" w14:textId="6EC48478" w:rsidR="00A66239" w:rsidRPr="00527A9D" w:rsidRDefault="00A66239" w:rsidP="00422A93">
            <w:pPr>
              <w:snapToGrid w:val="0"/>
              <w:spacing w:before="120" w:after="0" w:line="240" w:lineRule="auto"/>
              <w:jc w:val="both"/>
              <w:rPr>
                <w:rFonts w:cs="Arial"/>
              </w:rPr>
            </w:pPr>
            <w:r w:rsidRPr="00A66239">
              <w:rPr>
                <w:rFonts w:cs="Arial"/>
              </w:rPr>
              <w:t xml:space="preserve">The time commitment to this appointment will vary according to the complexity and size of the </w:t>
            </w:r>
            <w:r w:rsidR="00434DF9">
              <w:rPr>
                <w:rFonts w:cs="Arial"/>
              </w:rPr>
              <w:t>Clinical Academic Programme</w:t>
            </w:r>
            <w:r w:rsidRPr="00A66239">
              <w:rPr>
                <w:rFonts w:cs="Arial"/>
              </w:rPr>
              <w:t xml:space="preserve"> and will be agreed by negotiation with the KHP leadership and employing </w:t>
            </w:r>
            <w:proofErr w:type="gramStart"/>
            <w:r w:rsidRPr="00A66239">
              <w:rPr>
                <w:rFonts w:cs="Arial"/>
              </w:rPr>
              <w:t>Partner</w:t>
            </w:r>
            <w:r w:rsidR="00506149">
              <w:rPr>
                <w:rFonts w:cs="Arial"/>
              </w:rPr>
              <w:t>, but</w:t>
            </w:r>
            <w:proofErr w:type="gramEnd"/>
            <w:r w:rsidR="00506149">
              <w:rPr>
                <w:rFonts w:cs="Arial"/>
              </w:rPr>
              <w:t xml:space="preserve"> is anticipated to </w:t>
            </w:r>
            <w:r w:rsidR="00506149" w:rsidRPr="00527A9D">
              <w:rPr>
                <w:rFonts w:cs="Arial"/>
              </w:rPr>
              <w:t xml:space="preserve">be [2 PAs/ 0.2 </w:t>
            </w:r>
            <w:proofErr w:type="spellStart"/>
            <w:r w:rsidR="00506149" w:rsidRPr="00527A9D">
              <w:rPr>
                <w:rFonts w:cs="Arial"/>
              </w:rPr>
              <w:t>wte</w:t>
            </w:r>
            <w:proofErr w:type="spellEnd"/>
            <w:r w:rsidR="00506149" w:rsidRPr="00527A9D">
              <w:rPr>
                <w:rFonts w:cs="Arial"/>
              </w:rPr>
              <w:t xml:space="preserve"> per individual].</w:t>
            </w:r>
          </w:p>
          <w:p w14:paraId="5A92A759" w14:textId="5A3F9029" w:rsidR="008A5249" w:rsidRPr="00761D63" w:rsidRDefault="006260B5" w:rsidP="00422A93">
            <w:pPr>
              <w:snapToGrid w:val="0"/>
              <w:spacing w:before="120" w:after="0" w:line="240" w:lineRule="auto"/>
              <w:jc w:val="both"/>
              <w:rPr>
                <w:rFonts w:cs="Arial"/>
              </w:rPr>
            </w:pPr>
            <w:r>
              <w:rPr>
                <w:rFonts w:cs="Arial"/>
              </w:rPr>
              <w:t>Clinical Academic P</w:t>
            </w:r>
            <w:r w:rsidR="006B34CF">
              <w:rPr>
                <w:rFonts w:cs="Arial"/>
              </w:rPr>
              <w:t>artnership</w:t>
            </w:r>
            <w:r w:rsidR="00A66239" w:rsidRPr="00A66239">
              <w:rPr>
                <w:rFonts w:cs="Arial"/>
              </w:rPr>
              <w:t xml:space="preserve"> Director performance will be supported by the KHP 360° review, which allows for measurement of success of joint working arrangements, individual contributions to development of the </w:t>
            </w:r>
            <w:r w:rsidR="00A45B9C">
              <w:rPr>
                <w:rFonts w:cs="Arial"/>
              </w:rPr>
              <w:t>Clinical Academic P</w:t>
            </w:r>
            <w:r w:rsidR="006B34CF">
              <w:rPr>
                <w:rFonts w:cs="Arial"/>
              </w:rPr>
              <w:t>artnership</w:t>
            </w:r>
            <w:r w:rsidR="00A66239" w:rsidRPr="00A66239">
              <w:rPr>
                <w:rFonts w:cs="Arial"/>
              </w:rPr>
              <w:t>, and helps to support evaluation of collaborative work styles.  This process is designed to support, not duplicate, individual performance appraisal within substantive, clinical, academic or general management roles.</w:t>
            </w:r>
          </w:p>
        </w:tc>
      </w:tr>
    </w:tbl>
    <w:p w14:paraId="53D720BA" w14:textId="1F15D38F" w:rsidR="00A66239" w:rsidRDefault="00A66239" w:rsidP="00A66239">
      <w:pPr>
        <w:spacing w:after="0" w:line="240" w:lineRule="auto"/>
        <w:rPr>
          <w:rFonts w:ascii="Arial" w:hAnsi="Arial" w:cs="Arial"/>
        </w:rPr>
      </w:pPr>
    </w:p>
    <w:p w14:paraId="2361E86C" w14:textId="7E1E380B" w:rsidR="00761D63" w:rsidRDefault="00761D63" w:rsidP="00A66239">
      <w:pPr>
        <w:spacing w:after="0" w:line="240" w:lineRule="auto"/>
        <w:rPr>
          <w:rFonts w:ascii="Arial" w:hAnsi="Arial" w:cs="Arial"/>
        </w:rPr>
      </w:pPr>
    </w:p>
    <w:p w14:paraId="7F5B6C2A" w14:textId="7964CA31" w:rsidR="00761D63" w:rsidRDefault="00761D63" w:rsidP="00A66239">
      <w:pPr>
        <w:spacing w:after="0" w:line="240" w:lineRule="auto"/>
        <w:rPr>
          <w:rFonts w:ascii="Arial" w:hAnsi="Arial" w:cs="Arial"/>
        </w:rPr>
      </w:pPr>
    </w:p>
    <w:p w14:paraId="2AADA613" w14:textId="62C8EC82" w:rsidR="00115B33" w:rsidRDefault="00115B33" w:rsidP="00A66239">
      <w:pPr>
        <w:spacing w:after="0" w:line="240" w:lineRule="auto"/>
        <w:rPr>
          <w:rFonts w:ascii="Arial" w:hAnsi="Arial" w:cs="Arial"/>
        </w:rPr>
      </w:pPr>
    </w:p>
    <w:tbl>
      <w:tblPr>
        <w:tblW w:w="10217" w:type="dxa"/>
        <w:tblInd w:w="-459" w:type="dxa"/>
        <w:tblLayout w:type="fixed"/>
        <w:tblLook w:val="0000" w:firstRow="0" w:lastRow="0" w:firstColumn="0" w:lastColumn="0" w:noHBand="0" w:noVBand="0"/>
      </w:tblPr>
      <w:tblGrid>
        <w:gridCol w:w="10217"/>
      </w:tblGrid>
      <w:tr w:rsidR="00A66239" w:rsidRPr="00B6089C" w14:paraId="5DD10690" w14:textId="77777777" w:rsidTr="00422A93">
        <w:tc>
          <w:tcPr>
            <w:tcW w:w="10217" w:type="dxa"/>
            <w:tcBorders>
              <w:top w:val="single" w:sz="4" w:space="0" w:color="000000"/>
              <w:left w:val="single" w:sz="4" w:space="0" w:color="000000"/>
              <w:bottom w:val="single" w:sz="4" w:space="0" w:color="000000"/>
              <w:right w:val="single" w:sz="4" w:space="0" w:color="000000"/>
            </w:tcBorders>
          </w:tcPr>
          <w:p w14:paraId="6E3EA43E" w14:textId="2C271DF0" w:rsidR="00A66239" w:rsidRPr="006B34CF" w:rsidRDefault="00A66239" w:rsidP="00506149">
            <w:pPr>
              <w:pStyle w:val="Heading2"/>
              <w:rPr>
                <w:rFonts w:asciiTheme="minorHAnsi" w:hAnsiTheme="minorHAnsi" w:cstheme="minorHAnsi"/>
                <w:b/>
                <w:bCs/>
                <w:i/>
                <w:color w:val="auto"/>
                <w:sz w:val="22"/>
                <w:szCs w:val="22"/>
              </w:rPr>
            </w:pPr>
            <w:r w:rsidRPr="006B34CF">
              <w:rPr>
                <w:rFonts w:asciiTheme="minorHAnsi" w:hAnsiTheme="minorHAnsi" w:cstheme="minorHAnsi"/>
                <w:b/>
                <w:bCs/>
                <w:color w:val="auto"/>
                <w:sz w:val="22"/>
                <w:szCs w:val="22"/>
              </w:rPr>
              <w:lastRenderedPageBreak/>
              <w:t>King’s Health Partners</w:t>
            </w:r>
            <w:r w:rsidR="00506149" w:rsidRPr="006B34CF">
              <w:rPr>
                <w:rFonts w:asciiTheme="minorHAnsi" w:hAnsiTheme="minorHAnsi" w:cstheme="minorHAnsi"/>
                <w:b/>
                <w:bCs/>
                <w:color w:val="auto"/>
                <w:sz w:val="22"/>
                <w:szCs w:val="22"/>
              </w:rPr>
              <w:t xml:space="preserve">: </w:t>
            </w:r>
            <w:r w:rsidRPr="006B34CF">
              <w:rPr>
                <w:rFonts w:asciiTheme="minorHAnsi" w:hAnsiTheme="minorHAnsi" w:cstheme="minorHAnsi"/>
                <w:b/>
                <w:bCs/>
                <w:color w:val="auto"/>
                <w:sz w:val="22"/>
                <w:szCs w:val="22"/>
              </w:rPr>
              <w:t xml:space="preserve"> </w:t>
            </w:r>
          </w:p>
          <w:p w14:paraId="6627EEAB" w14:textId="77777777" w:rsidR="00A66239" w:rsidRPr="00A66239" w:rsidRDefault="00A66239" w:rsidP="00A66239">
            <w:pPr>
              <w:rPr>
                <w:rFonts w:cs="Arial"/>
              </w:rPr>
            </w:pPr>
            <w:r w:rsidRPr="00A66239">
              <w:rPr>
                <w:rFonts w:cs="Arial"/>
              </w:rPr>
              <w:t xml:space="preserve">King’s Health Partners was established by its founding partners in 2009; an Academic Health Sciences Centre where world-class research, education and clinical practice are brought together for the benefit of patients. </w:t>
            </w:r>
          </w:p>
          <w:p w14:paraId="24FBF595" w14:textId="20677B42" w:rsidR="00A66239" w:rsidRPr="00A66239" w:rsidRDefault="00A66239" w:rsidP="00A66239">
            <w:pPr>
              <w:rPr>
                <w:rFonts w:cs="Arial"/>
              </w:rPr>
            </w:pPr>
            <w:r w:rsidRPr="00A66239">
              <w:rPr>
                <w:rFonts w:cs="Arial"/>
              </w:rPr>
              <w:t>The collective weight of the partners has been applied to this challenge; comprising a leading university, King’s College London, two large NHS acute Foundation Trusts, Guy’s and St Thomas’ (which now comprises Royal Brompton and Harefield), King’s College Hospital, and South London and Maudsley, our NHS Foundation Trust for mental health services.  Together we represent a £3.8 billion partnership, with over 46,000 staff and 31,000 students and 4.3 million patient contacts annually. Our mission is delivered through 2</w:t>
            </w:r>
            <w:r w:rsidR="00506149">
              <w:rPr>
                <w:rFonts w:cs="Arial"/>
              </w:rPr>
              <w:t>1</w:t>
            </w:r>
            <w:r w:rsidRPr="00A66239">
              <w:rPr>
                <w:rFonts w:cs="Arial"/>
              </w:rPr>
              <w:t xml:space="preserve"> Clinical Academic Groups which bring together clinical and academic experts across specialties, five of which matured into </w:t>
            </w:r>
            <w:r w:rsidR="00506149">
              <w:rPr>
                <w:rFonts w:cs="Arial"/>
              </w:rPr>
              <w:t xml:space="preserve">what is now called Clinical Academic Partnerships </w:t>
            </w:r>
            <w:r w:rsidRPr="00A66239">
              <w:rPr>
                <w:rFonts w:cs="Arial"/>
              </w:rPr>
              <w:t>(Haematology</w:t>
            </w:r>
            <w:r w:rsidR="00506149">
              <w:rPr>
                <w:rFonts w:cs="Arial"/>
              </w:rPr>
              <w:t xml:space="preserve">; </w:t>
            </w:r>
            <w:r w:rsidRPr="00A66239">
              <w:rPr>
                <w:rFonts w:cs="Arial"/>
              </w:rPr>
              <w:t>Cardiovascular</w:t>
            </w:r>
            <w:r w:rsidR="00506149">
              <w:rPr>
                <w:rFonts w:cs="Arial"/>
              </w:rPr>
              <w:t>;</w:t>
            </w:r>
            <w:r w:rsidRPr="00A66239">
              <w:rPr>
                <w:rFonts w:cs="Arial"/>
              </w:rPr>
              <w:t xml:space="preserve"> Women’s and Children’s </w:t>
            </w:r>
            <w:proofErr w:type="gramStart"/>
            <w:r w:rsidRPr="00A66239">
              <w:rPr>
                <w:rFonts w:cs="Arial"/>
              </w:rPr>
              <w:t>Health</w:t>
            </w:r>
            <w:r w:rsidR="00506149">
              <w:rPr>
                <w:rFonts w:cs="Arial"/>
              </w:rPr>
              <w:t xml:space="preserve">; </w:t>
            </w:r>
            <w:r w:rsidRPr="00A66239">
              <w:rPr>
                <w:rFonts w:cs="Arial"/>
              </w:rPr>
              <w:t xml:space="preserve"> Neurosciences</w:t>
            </w:r>
            <w:proofErr w:type="gramEnd"/>
            <w:r w:rsidR="00506149">
              <w:rPr>
                <w:rFonts w:cs="Arial"/>
              </w:rPr>
              <w:t>;</w:t>
            </w:r>
            <w:r w:rsidRPr="00A66239">
              <w:rPr>
                <w:rFonts w:cs="Arial"/>
              </w:rPr>
              <w:t xml:space="preserve"> Diabetes, Endocrinology and Obesity), major cross cutting-programmes (Mind &amp; Body, Value-Based Healthcare) and an award-winning Education Academy.</w:t>
            </w:r>
          </w:p>
          <w:p w14:paraId="71091856" w14:textId="77777777" w:rsidR="00A66239" w:rsidRPr="00A050D7" w:rsidRDefault="00A66239" w:rsidP="00A050D7">
            <w:pPr>
              <w:keepNext/>
              <w:keepLines/>
              <w:spacing w:after="120" w:line="240" w:lineRule="auto"/>
              <w:outlineLvl w:val="2"/>
              <w:rPr>
                <w:rStyle w:val="Heading3Char"/>
              </w:rPr>
            </w:pPr>
            <w:r w:rsidRPr="00A050D7">
              <w:rPr>
                <w:rStyle w:val="Heading3Char"/>
              </w:rPr>
              <w:t>Our Strategy</w:t>
            </w:r>
          </w:p>
          <w:p w14:paraId="04F798D3" w14:textId="68AEE31B" w:rsidR="00A66239" w:rsidRPr="00A66239" w:rsidRDefault="00A66239" w:rsidP="00A66239">
            <w:pPr>
              <w:rPr>
                <w:rFonts w:cs="Arial"/>
              </w:rPr>
            </w:pPr>
            <w:r w:rsidRPr="00A66239">
              <w:rPr>
                <w:rFonts w:cs="Arial"/>
              </w:rPr>
              <w:t xml:space="preserve">Our </w:t>
            </w:r>
            <w:r w:rsidR="00506149" w:rsidRPr="00A66239">
              <w:rPr>
                <w:rFonts w:cs="Arial"/>
              </w:rPr>
              <w:t>five-year</w:t>
            </w:r>
            <w:r w:rsidRPr="00A66239">
              <w:rPr>
                <w:rFonts w:cs="Arial"/>
              </w:rPr>
              <w:t xml:space="preserve"> plan 2020 - 2025 </w:t>
            </w:r>
            <w:r w:rsidRPr="00A66239">
              <w:rPr>
                <w:rFonts w:cs="Arial"/>
                <w:b/>
                <w:bCs/>
                <w:i/>
                <w:iCs/>
              </w:rPr>
              <w:t xml:space="preserve">– Delivering better health for all through high impact innovation </w:t>
            </w:r>
            <w:r w:rsidRPr="00A66239">
              <w:rPr>
                <w:rFonts w:cs="Arial"/>
                <w:b/>
                <w:bCs/>
              </w:rPr>
              <w:t xml:space="preserve">– </w:t>
            </w:r>
            <w:r w:rsidRPr="00A66239">
              <w:rPr>
                <w:rFonts w:cs="Arial"/>
              </w:rPr>
              <w:t xml:space="preserve">builds on the maturity of our partnership, and anticipates extending our reach towards an Academic Health Sciences </w:t>
            </w:r>
            <w:r w:rsidRPr="00A66239">
              <w:rPr>
                <w:rFonts w:cs="Arial"/>
                <w:i/>
                <w:iCs/>
              </w:rPr>
              <w:t xml:space="preserve">System </w:t>
            </w:r>
            <w:r w:rsidRPr="00A66239">
              <w:rPr>
                <w:rFonts w:cs="Arial"/>
              </w:rPr>
              <w:t>across a wider geography of care, through four key themes:</w:t>
            </w:r>
          </w:p>
          <w:p w14:paraId="092489CD" w14:textId="77777777" w:rsidR="00506149" w:rsidRDefault="00506149" w:rsidP="00506149">
            <w:pPr>
              <w:autoSpaceDE w:val="0"/>
              <w:autoSpaceDN w:val="0"/>
              <w:ind w:right="208"/>
              <w:rPr>
                <w:rFonts w:cs="Arial"/>
              </w:rPr>
            </w:pPr>
            <w:r>
              <w:rPr>
                <w:rFonts w:cs="Arial"/>
                <w:b/>
                <w:bCs/>
              </w:rPr>
              <w:t xml:space="preserve">1. </w:t>
            </w:r>
            <w:r w:rsidR="00A66239" w:rsidRPr="00506149">
              <w:rPr>
                <w:rFonts w:cs="Arial"/>
                <w:b/>
                <w:bCs/>
              </w:rPr>
              <w:t>Novel technologies, therapeutics and diagnostics</w:t>
            </w:r>
            <w:r w:rsidR="00A66239" w:rsidRPr="00506149">
              <w:rPr>
                <w:rFonts w:cs="Arial"/>
              </w:rPr>
              <w:t xml:space="preserve"> – building on exceptional infrastructure; developing new cell and gene therapies, AI algorithms and engineering technologies to improve patient outcomes</w:t>
            </w:r>
          </w:p>
          <w:p w14:paraId="2A6E4936" w14:textId="0ACD9BD5" w:rsidR="00A66239" w:rsidRPr="00506149" w:rsidRDefault="00506149" w:rsidP="00506149">
            <w:pPr>
              <w:autoSpaceDE w:val="0"/>
              <w:autoSpaceDN w:val="0"/>
              <w:ind w:right="208"/>
              <w:rPr>
                <w:rFonts w:cs="Arial"/>
              </w:rPr>
            </w:pPr>
            <w:r>
              <w:rPr>
                <w:rFonts w:cs="Arial"/>
                <w:b/>
                <w:bCs/>
              </w:rPr>
              <w:t xml:space="preserve">2. </w:t>
            </w:r>
            <w:r w:rsidR="00A66239" w:rsidRPr="00506149">
              <w:rPr>
                <w:rFonts w:cs="Arial"/>
                <w:b/>
                <w:bCs/>
              </w:rPr>
              <w:t>Transforming system-wide quality improvement and outcomes</w:t>
            </w:r>
            <w:r w:rsidR="00A66239" w:rsidRPr="00506149">
              <w:rPr>
                <w:rFonts w:cs="Arial"/>
              </w:rPr>
              <w:t xml:space="preserve"> – using the power of our AHSC research and implementation science to transform patient experience and health outcomes</w:t>
            </w:r>
          </w:p>
          <w:p w14:paraId="63FB5DBA" w14:textId="6F812229" w:rsidR="00A66239" w:rsidRPr="00506149" w:rsidRDefault="00506149" w:rsidP="00506149">
            <w:pPr>
              <w:autoSpaceDE w:val="0"/>
              <w:autoSpaceDN w:val="0"/>
              <w:ind w:right="315"/>
              <w:rPr>
                <w:rFonts w:cs="Arial"/>
              </w:rPr>
            </w:pPr>
            <w:r>
              <w:rPr>
                <w:rFonts w:cs="Arial"/>
                <w:b/>
                <w:bCs/>
              </w:rPr>
              <w:t xml:space="preserve">3. </w:t>
            </w:r>
            <w:r w:rsidR="00A66239" w:rsidRPr="00506149">
              <w:rPr>
                <w:rFonts w:cs="Arial"/>
                <w:b/>
                <w:bCs/>
              </w:rPr>
              <w:t>Leading urban population health</w:t>
            </w:r>
            <w:r w:rsidR="00A66239" w:rsidRPr="00506149">
              <w:rPr>
                <w:rFonts w:cs="Arial"/>
              </w:rPr>
              <w:t xml:space="preserve"> – reducing health inequalities and improving health</w:t>
            </w:r>
          </w:p>
          <w:p w14:paraId="3D47A2DB" w14:textId="10F0ED43" w:rsidR="00A66239" w:rsidRPr="00506149" w:rsidRDefault="00506149" w:rsidP="00506149">
            <w:pPr>
              <w:autoSpaceDE w:val="0"/>
              <w:autoSpaceDN w:val="0"/>
              <w:spacing w:before="1"/>
              <w:ind w:right="389"/>
              <w:rPr>
                <w:rFonts w:cs="Arial"/>
              </w:rPr>
            </w:pPr>
            <w:r>
              <w:rPr>
                <w:rFonts w:cs="Arial"/>
                <w:b/>
                <w:bCs/>
              </w:rPr>
              <w:t xml:space="preserve">4. </w:t>
            </w:r>
            <w:r w:rsidR="00A66239" w:rsidRPr="00506149">
              <w:rPr>
                <w:rFonts w:cs="Arial"/>
                <w:b/>
                <w:bCs/>
              </w:rPr>
              <w:t>Workforce innovation and sustainability</w:t>
            </w:r>
            <w:r w:rsidR="00A66239" w:rsidRPr="00506149">
              <w:rPr>
                <w:rFonts w:cs="Arial"/>
              </w:rPr>
              <w:t xml:space="preserve"> – developing a workforce equipped for the future of modern healthcare</w:t>
            </w:r>
          </w:p>
          <w:p w14:paraId="003F6FD3" w14:textId="649251CF" w:rsidR="00A66239" w:rsidRPr="00A66239" w:rsidRDefault="00A66239" w:rsidP="00A66239">
            <w:pPr>
              <w:pStyle w:val="BodyText"/>
              <w:spacing w:before="158"/>
              <w:ind w:right="232"/>
              <w:rPr>
                <w:rFonts w:asciiTheme="minorHAnsi" w:eastAsiaTheme="minorHAnsi" w:hAnsiTheme="minorHAnsi" w:cs="Arial"/>
                <w:sz w:val="22"/>
                <w:szCs w:val="22"/>
              </w:rPr>
            </w:pPr>
            <w:r w:rsidRPr="00A66239">
              <w:rPr>
                <w:rFonts w:asciiTheme="minorHAnsi" w:hAnsiTheme="minorHAnsi" w:cs="Arial"/>
                <w:sz w:val="22"/>
                <w:szCs w:val="22"/>
              </w:rPr>
              <w:t xml:space="preserve">Over </w:t>
            </w:r>
            <w:r w:rsidR="00506149">
              <w:rPr>
                <w:rFonts w:asciiTheme="minorHAnsi" w:hAnsiTheme="minorHAnsi" w:cs="Arial"/>
                <w:sz w:val="22"/>
                <w:szCs w:val="22"/>
              </w:rPr>
              <w:t>this period 2020-2025</w:t>
            </w:r>
            <w:r w:rsidRPr="00A66239">
              <w:rPr>
                <w:rFonts w:asciiTheme="minorHAnsi" w:hAnsiTheme="minorHAnsi" w:cs="Arial"/>
                <w:sz w:val="22"/>
                <w:szCs w:val="22"/>
              </w:rPr>
              <w:t>, we will continue to work with these themes to intensify our pursuit of earlier detection, intervention and targeted prevention of disease though the use of new approaches derived from discovery science, moving over time to improved population health.</w:t>
            </w:r>
          </w:p>
          <w:p w14:paraId="2A38BDAB" w14:textId="64E9D387" w:rsidR="00A66239" w:rsidRPr="00115B33" w:rsidRDefault="00B707CF" w:rsidP="00115B33">
            <w:pPr>
              <w:rPr>
                <w:rFonts w:cs="Arial"/>
              </w:rPr>
            </w:pPr>
            <w:hyperlink r:id="rId11" w:tooltip="http://www.kingshealthpartners.org/" w:history="1">
              <w:r w:rsidR="00A66239" w:rsidRPr="00A66239">
                <w:rPr>
                  <w:rStyle w:val="Hyperlink"/>
                  <w:rFonts w:cs="Arial"/>
                </w:rPr>
                <w:t>www.kingshealthpartners.org</w:t>
              </w:r>
            </w:hyperlink>
          </w:p>
        </w:tc>
      </w:tr>
      <w:tr w:rsidR="00761D63" w:rsidRPr="00B6089C" w14:paraId="2159867B" w14:textId="77777777" w:rsidTr="00422A93">
        <w:tc>
          <w:tcPr>
            <w:tcW w:w="10217" w:type="dxa"/>
            <w:tcBorders>
              <w:top w:val="single" w:sz="4" w:space="0" w:color="000000"/>
              <w:left w:val="single" w:sz="4" w:space="0" w:color="000000"/>
              <w:bottom w:val="single" w:sz="4" w:space="0" w:color="000000"/>
              <w:right w:val="single" w:sz="4" w:space="0" w:color="000000"/>
            </w:tcBorders>
          </w:tcPr>
          <w:p w14:paraId="0288D3AF" w14:textId="77777777" w:rsidR="00761D63" w:rsidRPr="006B34CF" w:rsidRDefault="00761D63" w:rsidP="00761D63">
            <w:pPr>
              <w:pStyle w:val="Heading2"/>
              <w:rPr>
                <w:rFonts w:asciiTheme="minorHAnsi" w:hAnsiTheme="minorHAnsi" w:cstheme="minorHAnsi"/>
                <w:b/>
                <w:bCs/>
                <w:color w:val="auto"/>
                <w:sz w:val="22"/>
                <w:szCs w:val="22"/>
              </w:rPr>
            </w:pPr>
            <w:r w:rsidRPr="006B34CF">
              <w:rPr>
                <w:rFonts w:asciiTheme="minorHAnsi" w:hAnsiTheme="minorHAnsi" w:cstheme="minorHAnsi"/>
                <w:b/>
                <w:bCs/>
                <w:color w:val="auto"/>
                <w:sz w:val="22"/>
                <w:szCs w:val="22"/>
              </w:rPr>
              <w:lastRenderedPageBreak/>
              <w:t>KHP Diabetes, Endocrinology and Obesity:</w:t>
            </w:r>
          </w:p>
          <w:p w14:paraId="126B81E7" w14:textId="77777777" w:rsidR="00A050D7" w:rsidRPr="00A050D7" w:rsidRDefault="00A050D7" w:rsidP="00A050D7">
            <w:pPr>
              <w:spacing w:after="120" w:line="240" w:lineRule="auto"/>
            </w:pPr>
            <w:r w:rsidRPr="00A050D7">
              <w:t xml:space="preserve">King’s Health Partners Diabetes, Endocrinology &amp; Obesity (KHP DEO) brings together clinical, operational and academic teams from across three leading NHS Foundation Trusts, Guy’s and St Thomas’, King’s College Hospital and South London and Maudsley, and one of the world’s top research-led universities, King’s College London. Collectively, we are the largest provider of diabetes and endocrinology services in Europe, and uniquely positioned to improve the lives of a culturally diverse population facing significant deprivation, multi-morbidity and worsening health inequality.  </w:t>
            </w:r>
          </w:p>
          <w:p w14:paraId="41633763" w14:textId="77777777" w:rsidR="00A050D7" w:rsidRPr="00A050D7" w:rsidRDefault="00A050D7" w:rsidP="00A050D7">
            <w:pPr>
              <w:spacing w:after="120" w:line="240" w:lineRule="auto"/>
            </w:pPr>
            <w:r w:rsidRPr="00A050D7">
              <w:t>As a clinical academic partnership, we connect basic scientists, who primarily focus on determining the cellular mechanisms underlying diabetes, obesity and endocrine disorders to identify novel therapeutics targets, with clinical academics and clinicians, to improve the translation of new discoveries into patient care.</w:t>
            </w:r>
          </w:p>
          <w:p w14:paraId="16509AD9" w14:textId="77777777" w:rsidR="00A050D7" w:rsidRPr="00A050D7" w:rsidRDefault="00A050D7" w:rsidP="00A050D7">
            <w:pPr>
              <w:spacing w:after="120" w:line="240" w:lineRule="auto"/>
            </w:pPr>
            <w:r w:rsidRPr="00A050D7">
              <w:t>We lead system-wide collaborations, working closely with service users, families and carers, local voluntary and community groups, and colleagues within primary and community care. We focus on improving pathways of care by reducing variation and increasing access, and we ensure patients are treated holistically, recognising both their mental and physical health needs.</w:t>
            </w:r>
          </w:p>
          <w:p w14:paraId="2D512E0E" w14:textId="77777777" w:rsidR="00A050D7" w:rsidRPr="00A050D7" w:rsidRDefault="00A050D7" w:rsidP="00A050D7">
            <w:pPr>
              <w:spacing w:after="120" w:line="240" w:lineRule="auto"/>
            </w:pPr>
            <w:r w:rsidRPr="00A050D7">
              <w:t>None of what we do would be possible without our staff and students and we provide excellent education and training to support them in their current and future roles. We also develop training opportunities in collaboration with those working in diabetes, endocrinology and obesity across the UK and globally.</w:t>
            </w:r>
          </w:p>
          <w:p w14:paraId="53EC8C47" w14:textId="77777777" w:rsidR="00A050D7" w:rsidRDefault="00A050D7" w:rsidP="00A050D7">
            <w:pPr>
              <w:spacing w:after="120" w:line="240" w:lineRule="auto"/>
            </w:pPr>
            <w:r w:rsidRPr="00A050D7">
              <w:t>Acting as a vehicle for innovative and integrated ways of working across research, education and clinical practice, KHP DEO seeks to help address population health inequalities within diabetes, endocrinology and obesity that are likely to be relevant in current and next generations, and also have global reach and relevance.</w:t>
            </w:r>
          </w:p>
          <w:p w14:paraId="09D4C952" w14:textId="77777777" w:rsidR="00A050D7" w:rsidRPr="00A050D7" w:rsidRDefault="00A050D7" w:rsidP="00A050D7">
            <w:pPr>
              <w:keepNext/>
              <w:keepLines/>
              <w:spacing w:after="120" w:line="240" w:lineRule="auto"/>
              <w:outlineLvl w:val="2"/>
              <w:rPr>
                <w:rStyle w:val="Heading3Char"/>
              </w:rPr>
            </w:pPr>
            <w:r w:rsidRPr="00A050D7">
              <w:rPr>
                <w:rStyle w:val="Heading3Char"/>
              </w:rPr>
              <w:t xml:space="preserve">Our key priorities </w:t>
            </w:r>
          </w:p>
          <w:p w14:paraId="433BFE12" w14:textId="77777777" w:rsidR="00A050D7" w:rsidRPr="00A050D7" w:rsidRDefault="00A050D7" w:rsidP="00A050D7">
            <w:pPr>
              <w:numPr>
                <w:ilvl w:val="0"/>
                <w:numId w:val="9"/>
              </w:numPr>
              <w:spacing w:after="60" w:line="240" w:lineRule="auto"/>
              <w:rPr>
                <w:rFonts w:ascii="Calibri" w:hAnsi="Calibri" w:cs="Calibri"/>
                <w:szCs w:val="20"/>
                <w:lang w:eastAsia="en-GB"/>
              </w:rPr>
            </w:pPr>
            <w:r w:rsidRPr="00A050D7">
              <w:rPr>
                <w:rFonts w:ascii="Calibri" w:hAnsi="Calibri" w:cs="Calibri"/>
                <w:szCs w:val="20"/>
                <w:lang w:eastAsia="en-GB"/>
              </w:rPr>
              <w:t>Driving system-wide collaboration across primary, community and secondary care and from prevention though to specialist care; underpinned by a population health approach.</w:t>
            </w:r>
          </w:p>
          <w:p w14:paraId="6F8EC39D" w14:textId="77777777" w:rsidR="00A050D7" w:rsidRPr="00A050D7" w:rsidRDefault="00A050D7" w:rsidP="00A050D7">
            <w:pPr>
              <w:numPr>
                <w:ilvl w:val="0"/>
                <w:numId w:val="9"/>
              </w:numPr>
              <w:spacing w:after="60" w:line="240" w:lineRule="auto"/>
              <w:rPr>
                <w:rFonts w:ascii="Calibri" w:hAnsi="Calibri" w:cs="Calibri"/>
                <w:szCs w:val="20"/>
                <w:lang w:eastAsia="en-GB"/>
              </w:rPr>
            </w:pPr>
            <w:r w:rsidRPr="00A050D7">
              <w:rPr>
                <w:rFonts w:ascii="Calibri" w:hAnsi="Calibri" w:cs="Calibri"/>
                <w:szCs w:val="20"/>
                <w:lang w:eastAsia="en-GB"/>
              </w:rPr>
              <w:t>Strengthening integrated ways of working across our current organisational boundaries through ‘One Team’ working; leading to improved holistic care and outcomes for patients and populations.</w:t>
            </w:r>
          </w:p>
          <w:p w14:paraId="52F35E63" w14:textId="100A1472" w:rsidR="00A050D7" w:rsidRPr="00A050D7" w:rsidRDefault="00A050D7" w:rsidP="00A050D7">
            <w:pPr>
              <w:numPr>
                <w:ilvl w:val="0"/>
                <w:numId w:val="9"/>
              </w:numPr>
              <w:spacing w:after="60" w:line="240" w:lineRule="auto"/>
              <w:rPr>
                <w:rFonts w:ascii="Calibri" w:hAnsi="Calibri" w:cs="Calibri"/>
                <w:szCs w:val="20"/>
                <w:lang w:eastAsia="en-GB"/>
              </w:rPr>
            </w:pPr>
            <w:r w:rsidRPr="00A050D7">
              <w:rPr>
                <w:rFonts w:ascii="Calibri" w:hAnsi="Calibri" w:cs="Calibri"/>
                <w:szCs w:val="20"/>
                <w:lang w:eastAsia="en-GB"/>
              </w:rPr>
              <w:t>Improving the mental and physical health of our patients – taking a Mind &amp; Body approach that encompasses psychiatry, immunology, beta-cell biology, education and therapies.</w:t>
            </w:r>
          </w:p>
          <w:p w14:paraId="5D78DBA6" w14:textId="77777777" w:rsidR="00A050D7" w:rsidRPr="00A050D7" w:rsidRDefault="00A050D7" w:rsidP="00A050D7">
            <w:pPr>
              <w:numPr>
                <w:ilvl w:val="0"/>
                <w:numId w:val="9"/>
              </w:numPr>
              <w:spacing w:after="60" w:line="240" w:lineRule="auto"/>
              <w:rPr>
                <w:rFonts w:ascii="Calibri" w:hAnsi="Calibri" w:cs="Calibri"/>
                <w:szCs w:val="20"/>
                <w:lang w:eastAsia="en-GB"/>
              </w:rPr>
            </w:pPr>
            <w:r w:rsidRPr="00A050D7">
              <w:rPr>
                <w:rFonts w:ascii="Calibri" w:hAnsi="Calibri" w:cs="Calibri"/>
                <w:szCs w:val="20"/>
                <w:lang w:eastAsia="en-GB"/>
              </w:rPr>
              <w:t xml:space="preserve">Accelerating translation of research and innovation into practice to improve health outcomes, with research evidence and outcomes applicable to other UK geographies and internationally.  </w:t>
            </w:r>
          </w:p>
          <w:p w14:paraId="008F476D" w14:textId="3F228B14" w:rsidR="00A050D7" w:rsidRDefault="00A050D7" w:rsidP="00A050D7">
            <w:pPr>
              <w:numPr>
                <w:ilvl w:val="0"/>
                <w:numId w:val="9"/>
              </w:numPr>
              <w:spacing w:after="60" w:line="240" w:lineRule="auto"/>
              <w:rPr>
                <w:rFonts w:ascii="Calibri" w:hAnsi="Calibri" w:cs="Calibri"/>
                <w:szCs w:val="20"/>
                <w:lang w:eastAsia="en-GB"/>
              </w:rPr>
            </w:pPr>
            <w:r w:rsidRPr="00A050D7">
              <w:rPr>
                <w:rFonts w:ascii="Calibri" w:hAnsi="Calibri" w:cs="Calibri"/>
                <w:szCs w:val="20"/>
                <w:lang w:eastAsia="en-GB"/>
              </w:rPr>
              <w:t>Enhancing multi-disciplinary education and learning opportunities across our workforce, which are also available nationally and globally.</w:t>
            </w:r>
          </w:p>
          <w:p w14:paraId="3A3BC0A0" w14:textId="0FB0F233" w:rsidR="00761D63" w:rsidRPr="00506149" w:rsidRDefault="00A050D7" w:rsidP="00A050D7">
            <w:pPr>
              <w:spacing w:after="120" w:line="240" w:lineRule="auto"/>
              <w:rPr>
                <w:b/>
                <w:bCs/>
              </w:rPr>
            </w:pPr>
            <w:r w:rsidRPr="00A050D7">
              <w:t xml:space="preserve"> </w:t>
            </w:r>
            <w:r>
              <w:rPr>
                <w:noProof/>
              </w:rPr>
              <w:drawing>
                <wp:inline distT="0" distB="0" distL="0" distR="0" wp14:anchorId="70E24DEB" wp14:editId="3921FE05">
                  <wp:extent cx="6189235" cy="296227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01907" cy="2968340"/>
                          </a:xfrm>
                          <a:prstGeom prst="rect">
                            <a:avLst/>
                          </a:prstGeom>
                        </pic:spPr>
                      </pic:pic>
                    </a:graphicData>
                  </a:graphic>
                </wp:inline>
              </w:drawing>
            </w:r>
          </w:p>
        </w:tc>
      </w:tr>
    </w:tbl>
    <w:p w14:paraId="36F59A0E" w14:textId="77777777" w:rsidR="00A66239" w:rsidRDefault="00A66239" w:rsidP="00A66239">
      <w:pPr>
        <w:spacing w:after="0" w:line="240" w:lineRule="auto"/>
        <w:rPr>
          <w:rFonts w:ascii="Arial" w:hAnsi="Arial" w:cs="Arial"/>
        </w:rPr>
      </w:pPr>
    </w:p>
    <w:tbl>
      <w:tblPr>
        <w:tblW w:w="10189" w:type="dxa"/>
        <w:tblInd w:w="-431" w:type="dxa"/>
        <w:tblLayout w:type="fixed"/>
        <w:tblLook w:val="0000" w:firstRow="0" w:lastRow="0" w:firstColumn="0" w:lastColumn="0" w:noHBand="0" w:noVBand="0"/>
      </w:tblPr>
      <w:tblGrid>
        <w:gridCol w:w="10189"/>
      </w:tblGrid>
      <w:tr w:rsidR="00A66239" w:rsidRPr="00B6089C" w14:paraId="7B921253" w14:textId="77777777" w:rsidTr="00761D63">
        <w:tc>
          <w:tcPr>
            <w:tcW w:w="10189" w:type="dxa"/>
            <w:tcBorders>
              <w:top w:val="single" w:sz="4" w:space="0" w:color="000000"/>
              <w:left w:val="single" w:sz="4" w:space="0" w:color="000000"/>
              <w:bottom w:val="single" w:sz="4" w:space="0" w:color="000000"/>
              <w:right w:val="single" w:sz="4" w:space="0" w:color="000000"/>
            </w:tcBorders>
            <w:shd w:val="clear" w:color="auto" w:fill="999999"/>
          </w:tcPr>
          <w:p w14:paraId="1ADF176B" w14:textId="77777777" w:rsidR="00A66239" w:rsidRPr="00A66239" w:rsidRDefault="00A66239" w:rsidP="00422A93">
            <w:pPr>
              <w:snapToGrid w:val="0"/>
              <w:spacing w:before="120" w:line="240" w:lineRule="auto"/>
              <w:rPr>
                <w:rFonts w:cs="Arial"/>
                <w:b/>
                <w:color w:val="FFFFFF"/>
              </w:rPr>
            </w:pPr>
            <w:r w:rsidRPr="00A66239">
              <w:rPr>
                <w:rFonts w:cs="Arial"/>
                <w:b/>
                <w:color w:val="FFFFFF"/>
              </w:rPr>
              <w:lastRenderedPageBreak/>
              <w:t>JOB SUMMARY</w:t>
            </w:r>
          </w:p>
        </w:tc>
      </w:tr>
      <w:tr w:rsidR="00A66239" w:rsidRPr="00A66239" w14:paraId="5112BD5D" w14:textId="77777777" w:rsidTr="00761D63">
        <w:tc>
          <w:tcPr>
            <w:tcW w:w="10189" w:type="dxa"/>
            <w:tcBorders>
              <w:top w:val="single" w:sz="4" w:space="0" w:color="000000"/>
              <w:left w:val="single" w:sz="4" w:space="0" w:color="000000"/>
              <w:bottom w:val="single" w:sz="4" w:space="0" w:color="000000"/>
              <w:right w:val="single" w:sz="4" w:space="0" w:color="000000"/>
            </w:tcBorders>
          </w:tcPr>
          <w:p w14:paraId="2DD5EBAC" w14:textId="28953974" w:rsidR="00A66239" w:rsidRPr="00A66239" w:rsidRDefault="00A66239" w:rsidP="00422A93">
            <w:pPr>
              <w:rPr>
                <w:rFonts w:cs="Arial"/>
              </w:rPr>
            </w:pPr>
            <w:r w:rsidRPr="00A66239">
              <w:rPr>
                <w:rFonts w:cs="Arial"/>
              </w:rPr>
              <w:t xml:space="preserve">The </w:t>
            </w:r>
            <w:r w:rsidR="006854A5">
              <w:rPr>
                <w:rFonts w:cs="Arial"/>
              </w:rPr>
              <w:t xml:space="preserve">Clinical Academic </w:t>
            </w:r>
            <w:r w:rsidR="00E0766C">
              <w:rPr>
                <w:rFonts w:cs="Arial"/>
              </w:rPr>
              <w:t xml:space="preserve">Partnership </w:t>
            </w:r>
            <w:r w:rsidR="00115B33">
              <w:rPr>
                <w:rFonts w:cs="Arial"/>
              </w:rPr>
              <w:t xml:space="preserve">Joint </w:t>
            </w:r>
            <w:r w:rsidRPr="00A66239">
              <w:rPr>
                <w:rFonts w:cs="Arial"/>
              </w:rPr>
              <w:t>Director</w:t>
            </w:r>
            <w:r w:rsidR="00115B33">
              <w:rPr>
                <w:rFonts w:cs="Arial"/>
              </w:rPr>
              <w:t>(s)</w:t>
            </w:r>
            <w:r w:rsidRPr="00A66239">
              <w:rPr>
                <w:rFonts w:cs="Arial"/>
              </w:rPr>
              <w:t xml:space="preserve"> </w:t>
            </w:r>
            <w:r w:rsidR="00115B33">
              <w:rPr>
                <w:rFonts w:cs="Arial"/>
              </w:rPr>
              <w:t>are</w:t>
            </w:r>
            <w:r w:rsidRPr="00A66239">
              <w:rPr>
                <w:rFonts w:cs="Arial"/>
              </w:rPr>
              <w:t xml:space="preserve"> accountable for leading the strategic vision and clinical-academic strategy to ensure that we deliver internationally competitive outcomes for the </w:t>
            </w:r>
            <w:r w:rsidR="006854A5">
              <w:rPr>
                <w:rFonts w:cs="Arial"/>
              </w:rPr>
              <w:t>Clinical Academic P</w:t>
            </w:r>
            <w:r w:rsidR="00E0766C">
              <w:rPr>
                <w:rFonts w:cs="Arial"/>
              </w:rPr>
              <w:t>artnership</w:t>
            </w:r>
            <w:r w:rsidRPr="00A66239">
              <w:rPr>
                <w:rFonts w:cs="Arial"/>
              </w:rPr>
              <w:t xml:space="preserve"> and the offer to patients, staff and students:</w:t>
            </w:r>
          </w:p>
          <w:p w14:paraId="02BEE028" w14:textId="1F92E055" w:rsidR="00A66239" w:rsidRPr="00A66239" w:rsidRDefault="00A66239" w:rsidP="00A66239">
            <w:pPr>
              <w:numPr>
                <w:ilvl w:val="0"/>
                <w:numId w:val="4"/>
              </w:numPr>
              <w:spacing w:after="80"/>
              <w:ind w:left="714" w:hanging="357"/>
              <w:rPr>
                <w:rFonts w:cs="Arial"/>
              </w:rPr>
            </w:pPr>
            <w:r w:rsidRPr="00A66239">
              <w:rPr>
                <w:rFonts w:cs="Arial"/>
              </w:rPr>
              <w:t xml:space="preserve">Providing visible and compelling </w:t>
            </w:r>
            <w:r w:rsidR="00115B33">
              <w:rPr>
                <w:rFonts w:cs="Arial"/>
              </w:rPr>
              <w:t xml:space="preserve">clinical/ academic </w:t>
            </w:r>
            <w:r w:rsidRPr="00A66239">
              <w:rPr>
                <w:rFonts w:cs="Arial"/>
              </w:rPr>
              <w:t xml:space="preserve">leadership for the </w:t>
            </w:r>
            <w:r w:rsidR="006854A5">
              <w:rPr>
                <w:rFonts w:cs="Arial"/>
              </w:rPr>
              <w:t>Clinical Academic P</w:t>
            </w:r>
            <w:r w:rsidR="00E0766C">
              <w:rPr>
                <w:rFonts w:cs="Arial"/>
              </w:rPr>
              <w:t>artnership</w:t>
            </w:r>
            <w:r w:rsidRPr="00A66239">
              <w:rPr>
                <w:rFonts w:cs="Arial"/>
              </w:rPr>
              <w:t>.</w:t>
            </w:r>
          </w:p>
          <w:p w14:paraId="6FAA1A9F" w14:textId="6DFEC366" w:rsidR="00A66239" w:rsidRPr="00A66239" w:rsidRDefault="00A66239" w:rsidP="00A66239">
            <w:pPr>
              <w:numPr>
                <w:ilvl w:val="0"/>
                <w:numId w:val="4"/>
              </w:numPr>
              <w:spacing w:after="80"/>
              <w:ind w:left="714" w:hanging="357"/>
              <w:rPr>
                <w:rFonts w:cs="Arial"/>
              </w:rPr>
            </w:pPr>
            <w:r w:rsidRPr="00A66239">
              <w:rPr>
                <w:rFonts w:cs="Arial"/>
              </w:rPr>
              <w:t xml:space="preserve">Promoting and ethos of excellence in </w:t>
            </w:r>
            <w:r w:rsidR="00070F2E">
              <w:rPr>
                <w:rFonts w:cs="Arial"/>
              </w:rPr>
              <w:t>diabetes, endocrinology and obesity</w:t>
            </w:r>
            <w:r w:rsidRPr="00A66239">
              <w:rPr>
                <w:rFonts w:cs="Arial"/>
              </w:rPr>
              <w:t xml:space="preserve"> health within KHP, nationally and internationally. </w:t>
            </w:r>
          </w:p>
          <w:p w14:paraId="6BCC3987" w14:textId="3B670771" w:rsidR="00A66239" w:rsidRPr="00A66239" w:rsidRDefault="00A66239" w:rsidP="00A66239">
            <w:pPr>
              <w:numPr>
                <w:ilvl w:val="0"/>
                <w:numId w:val="4"/>
              </w:numPr>
              <w:spacing w:after="80"/>
              <w:ind w:left="714" w:hanging="357"/>
              <w:rPr>
                <w:rFonts w:cs="Arial"/>
              </w:rPr>
            </w:pPr>
            <w:r w:rsidRPr="00A66239">
              <w:rPr>
                <w:rFonts w:cs="Arial"/>
              </w:rPr>
              <w:t xml:space="preserve">Building shared vision of the life course of health and disease and promoting active engagement with the </w:t>
            </w:r>
            <w:r w:rsidR="00070F2E">
              <w:rPr>
                <w:rFonts w:cs="Arial"/>
              </w:rPr>
              <w:t>Clinical Academic P</w:t>
            </w:r>
            <w:r w:rsidR="00E0766C">
              <w:rPr>
                <w:rFonts w:cs="Arial"/>
              </w:rPr>
              <w:t>artnership</w:t>
            </w:r>
            <w:r w:rsidRPr="00A66239">
              <w:rPr>
                <w:rFonts w:cs="Arial"/>
              </w:rPr>
              <w:t xml:space="preserve"> across the KHP partners.  </w:t>
            </w:r>
          </w:p>
          <w:p w14:paraId="14C7D2E0" w14:textId="636D13B6" w:rsidR="00A66239" w:rsidRPr="00A66239" w:rsidRDefault="00A66239" w:rsidP="00A66239">
            <w:pPr>
              <w:numPr>
                <w:ilvl w:val="0"/>
                <w:numId w:val="4"/>
              </w:numPr>
              <w:spacing w:after="80"/>
              <w:ind w:left="714" w:hanging="357"/>
              <w:rPr>
                <w:rFonts w:cs="Arial"/>
              </w:rPr>
            </w:pPr>
            <w:r w:rsidRPr="00A66239">
              <w:rPr>
                <w:rFonts w:cs="Arial"/>
              </w:rPr>
              <w:t xml:space="preserve">Working with, and influencing, key stakeholders to gain their support and secure the resources needed to establish the </w:t>
            </w:r>
            <w:r w:rsidR="00070F2E">
              <w:rPr>
                <w:rFonts w:cs="Arial"/>
              </w:rPr>
              <w:t>Clinical Academic P</w:t>
            </w:r>
            <w:r w:rsidR="00E0766C">
              <w:rPr>
                <w:rFonts w:cs="Arial"/>
              </w:rPr>
              <w:t>artnership</w:t>
            </w:r>
            <w:r w:rsidRPr="00A66239">
              <w:rPr>
                <w:rFonts w:cs="Arial"/>
              </w:rPr>
              <w:t>.</w:t>
            </w:r>
          </w:p>
          <w:p w14:paraId="50F1A554" w14:textId="653ABE9A" w:rsidR="00A66239" w:rsidRPr="00A66239" w:rsidRDefault="00A66239" w:rsidP="00A66239">
            <w:pPr>
              <w:numPr>
                <w:ilvl w:val="0"/>
                <w:numId w:val="4"/>
              </w:numPr>
              <w:spacing w:after="80"/>
              <w:ind w:left="714" w:hanging="357"/>
              <w:rPr>
                <w:rFonts w:cs="Arial"/>
              </w:rPr>
            </w:pPr>
            <w:r w:rsidRPr="00A66239">
              <w:rPr>
                <w:rFonts w:cs="Arial"/>
              </w:rPr>
              <w:t xml:space="preserve">Creating and facilitating a vibrant research community that inspires and supports academics and clinicians in </w:t>
            </w:r>
            <w:r w:rsidR="00C22F3A">
              <w:rPr>
                <w:rFonts w:cs="Arial"/>
              </w:rPr>
              <w:t>diabetes, endocrinology and obesity</w:t>
            </w:r>
            <w:r w:rsidRPr="00A66239">
              <w:rPr>
                <w:rFonts w:cs="Arial"/>
              </w:rPr>
              <w:t xml:space="preserve"> health to achieve their potential. </w:t>
            </w:r>
          </w:p>
          <w:p w14:paraId="61606C11" w14:textId="09FC7278" w:rsidR="00A66239" w:rsidRPr="00A66239" w:rsidRDefault="00A66239" w:rsidP="00A66239">
            <w:pPr>
              <w:numPr>
                <w:ilvl w:val="0"/>
                <w:numId w:val="4"/>
              </w:numPr>
              <w:spacing w:after="80"/>
              <w:ind w:left="714" w:hanging="357"/>
              <w:rPr>
                <w:rFonts w:cs="Arial"/>
              </w:rPr>
            </w:pPr>
            <w:r w:rsidRPr="00A66239">
              <w:rPr>
                <w:rFonts w:cs="Arial"/>
              </w:rPr>
              <w:t xml:space="preserve">Building a world-class offer across research, innovation, education and training, which informs and benefits clinical practice in </w:t>
            </w:r>
            <w:r w:rsidR="00C22F3A">
              <w:rPr>
                <w:rFonts w:cs="Arial"/>
              </w:rPr>
              <w:t>diabetes, endocrinology and obesity</w:t>
            </w:r>
            <w:r w:rsidRPr="00A66239">
              <w:rPr>
                <w:rFonts w:cs="Arial"/>
              </w:rPr>
              <w:t xml:space="preserve">. </w:t>
            </w:r>
          </w:p>
          <w:p w14:paraId="4B1EBF3D" w14:textId="6B209605" w:rsidR="00A66239" w:rsidRPr="00A66239" w:rsidRDefault="00A66239" w:rsidP="00A66239">
            <w:pPr>
              <w:numPr>
                <w:ilvl w:val="0"/>
                <w:numId w:val="4"/>
              </w:numPr>
              <w:spacing w:after="80"/>
              <w:ind w:left="714" w:hanging="357"/>
              <w:rPr>
                <w:rFonts w:cs="Arial"/>
              </w:rPr>
            </w:pPr>
            <w:r w:rsidRPr="00A66239">
              <w:rPr>
                <w:rFonts w:cs="Arial"/>
              </w:rPr>
              <w:t>Leading the design, development and implementation of new operating models for shared</w:t>
            </w:r>
            <w:r w:rsidR="00115B33">
              <w:rPr>
                <w:rFonts w:cs="Arial"/>
              </w:rPr>
              <w:t xml:space="preserve"> clinical and</w:t>
            </w:r>
            <w:r w:rsidRPr="00A66239">
              <w:rPr>
                <w:rFonts w:cs="Arial"/>
              </w:rPr>
              <w:t xml:space="preserve"> academic activity across the KHP partners</w:t>
            </w:r>
            <w:r w:rsidR="00115B33">
              <w:rPr>
                <w:rFonts w:cs="Arial"/>
              </w:rPr>
              <w:t xml:space="preserve">, including clinical data processes. </w:t>
            </w:r>
          </w:p>
          <w:p w14:paraId="759B52AF" w14:textId="17EA8245" w:rsidR="00A66239" w:rsidRPr="00A66239" w:rsidRDefault="00A66239" w:rsidP="00A66239">
            <w:pPr>
              <w:numPr>
                <w:ilvl w:val="0"/>
                <w:numId w:val="4"/>
              </w:numPr>
              <w:spacing w:after="80"/>
              <w:ind w:left="714" w:hanging="357"/>
              <w:rPr>
                <w:rFonts w:cs="Arial"/>
              </w:rPr>
            </w:pPr>
            <w:r w:rsidRPr="00A66239">
              <w:rPr>
                <w:rFonts w:cs="Arial"/>
              </w:rPr>
              <w:t xml:space="preserve">Driving delivery of new </w:t>
            </w:r>
            <w:r w:rsidR="001C3837">
              <w:rPr>
                <w:rFonts w:cs="Arial"/>
              </w:rPr>
              <w:t>Clinical Academic P</w:t>
            </w:r>
            <w:r w:rsidR="00E0766C">
              <w:rPr>
                <w:rFonts w:cs="Arial"/>
              </w:rPr>
              <w:t>artnership</w:t>
            </w:r>
            <w:r w:rsidRPr="00A66239">
              <w:rPr>
                <w:rFonts w:cs="Arial"/>
              </w:rPr>
              <w:t xml:space="preserve"> research, innovation and education activities that add demonstrable value to the KHP Partners.   </w:t>
            </w:r>
          </w:p>
          <w:p w14:paraId="027F32B5" w14:textId="748E37A0" w:rsidR="00A66239" w:rsidRDefault="00A66239" w:rsidP="00A66239">
            <w:pPr>
              <w:pStyle w:val="ListParagraph"/>
              <w:numPr>
                <w:ilvl w:val="0"/>
                <w:numId w:val="8"/>
              </w:numPr>
              <w:spacing w:after="80"/>
              <w:contextualSpacing w:val="0"/>
              <w:rPr>
                <w:rFonts w:asciiTheme="minorHAnsi" w:hAnsiTheme="minorHAnsi" w:cs="Arial"/>
                <w:sz w:val="22"/>
                <w:szCs w:val="22"/>
              </w:rPr>
            </w:pPr>
            <w:r w:rsidRPr="00A66239">
              <w:rPr>
                <w:rFonts w:asciiTheme="minorHAnsi" w:hAnsiTheme="minorHAnsi" w:cs="Arial"/>
                <w:sz w:val="22"/>
                <w:szCs w:val="22"/>
              </w:rPr>
              <w:t xml:space="preserve">Ensuring development of metrics / KPIs that capture the value-added to the KHP partners by the </w:t>
            </w:r>
            <w:r w:rsidR="001C3837" w:rsidRPr="001C3837">
              <w:rPr>
                <w:rFonts w:asciiTheme="minorHAnsi" w:hAnsiTheme="minorHAnsi" w:cstheme="minorHAnsi"/>
                <w:sz w:val="22"/>
                <w:szCs w:val="22"/>
              </w:rPr>
              <w:t>Clinical Academic P</w:t>
            </w:r>
            <w:r w:rsidR="00E0766C">
              <w:rPr>
                <w:rFonts w:asciiTheme="minorHAnsi" w:hAnsiTheme="minorHAnsi" w:cstheme="minorHAnsi"/>
                <w:sz w:val="22"/>
                <w:szCs w:val="22"/>
              </w:rPr>
              <w:t>artnership</w:t>
            </w:r>
            <w:r w:rsidRPr="001C3837">
              <w:rPr>
                <w:rFonts w:asciiTheme="minorHAnsi" w:hAnsiTheme="minorHAnsi" w:cstheme="minorHAnsi"/>
                <w:sz w:val="22"/>
                <w:szCs w:val="22"/>
              </w:rPr>
              <w:t>,</w:t>
            </w:r>
            <w:r w:rsidRPr="00A66239">
              <w:rPr>
                <w:rFonts w:asciiTheme="minorHAnsi" w:hAnsiTheme="minorHAnsi" w:cs="Arial"/>
                <w:sz w:val="22"/>
                <w:szCs w:val="22"/>
              </w:rPr>
              <w:t xml:space="preserve"> measuring and communicating performance against these metrics / KPIs to key stakeholders. </w:t>
            </w:r>
          </w:p>
          <w:p w14:paraId="445D79B4" w14:textId="045EFA8F" w:rsidR="00115B33" w:rsidRPr="00A66239" w:rsidRDefault="00115B33" w:rsidP="00A66239">
            <w:pPr>
              <w:pStyle w:val="ListParagraph"/>
              <w:numPr>
                <w:ilvl w:val="0"/>
                <w:numId w:val="8"/>
              </w:numPr>
              <w:spacing w:after="80"/>
              <w:contextualSpacing w:val="0"/>
              <w:rPr>
                <w:rFonts w:asciiTheme="minorHAnsi" w:hAnsiTheme="minorHAnsi" w:cs="Arial"/>
                <w:sz w:val="22"/>
                <w:szCs w:val="22"/>
              </w:rPr>
            </w:pPr>
            <w:r>
              <w:rPr>
                <w:rFonts w:asciiTheme="minorHAnsi" w:hAnsiTheme="minorHAnsi" w:cs="Arial"/>
                <w:sz w:val="22"/>
                <w:szCs w:val="22"/>
              </w:rPr>
              <w:t xml:space="preserve">Exploring and supporting inward investment opportunities in conjunction with the Programme Director and Programme Team. </w:t>
            </w:r>
          </w:p>
        </w:tc>
      </w:tr>
    </w:tbl>
    <w:p w14:paraId="56F783DB" w14:textId="77777777" w:rsidR="00A66239" w:rsidRPr="00A66239" w:rsidRDefault="00A66239" w:rsidP="00A66239">
      <w:pPr>
        <w:spacing w:after="0" w:line="240" w:lineRule="auto"/>
        <w:rPr>
          <w:rFonts w:cs="Arial"/>
        </w:rPr>
      </w:pPr>
    </w:p>
    <w:tbl>
      <w:tblPr>
        <w:tblW w:w="10201" w:type="dxa"/>
        <w:jc w:val="center"/>
        <w:tblLayout w:type="fixed"/>
        <w:tblLook w:val="0000" w:firstRow="0" w:lastRow="0" w:firstColumn="0" w:lastColumn="0" w:noHBand="0" w:noVBand="0"/>
      </w:tblPr>
      <w:tblGrid>
        <w:gridCol w:w="10201"/>
      </w:tblGrid>
      <w:tr w:rsidR="00A66239" w:rsidRPr="00A66239" w14:paraId="0660CF5B" w14:textId="77777777" w:rsidTr="00115B33">
        <w:trPr>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708A580D" w14:textId="77777777" w:rsidR="00A66239" w:rsidRPr="00A66239" w:rsidRDefault="00A66239" w:rsidP="00422A93">
            <w:pPr>
              <w:snapToGrid w:val="0"/>
              <w:spacing w:before="120" w:line="240" w:lineRule="auto"/>
              <w:rPr>
                <w:rFonts w:cs="Arial"/>
                <w:b/>
                <w:color w:val="FFFFFF"/>
              </w:rPr>
            </w:pPr>
            <w:r w:rsidRPr="00A66239">
              <w:rPr>
                <w:rFonts w:cs="Arial"/>
                <w:b/>
                <w:color w:val="FFFFFF"/>
              </w:rPr>
              <w:t>KEY ACCOUNTABILITIES</w:t>
            </w:r>
          </w:p>
        </w:tc>
      </w:tr>
      <w:tr w:rsidR="00A66239" w:rsidRPr="00A66239" w14:paraId="27E27741" w14:textId="77777777" w:rsidTr="00115B33">
        <w:trPr>
          <w:jc w:val="center"/>
        </w:trPr>
        <w:tc>
          <w:tcPr>
            <w:tcW w:w="10201" w:type="dxa"/>
            <w:tcBorders>
              <w:top w:val="single" w:sz="4" w:space="0" w:color="000000"/>
              <w:left w:val="single" w:sz="4" w:space="0" w:color="000000"/>
              <w:bottom w:val="single" w:sz="4" w:space="0" w:color="000000"/>
              <w:right w:val="single" w:sz="4" w:space="0" w:color="000000"/>
            </w:tcBorders>
            <w:vAlign w:val="center"/>
          </w:tcPr>
          <w:p w14:paraId="4AFF8770" w14:textId="4FADEA91" w:rsidR="00A66239" w:rsidRPr="00A66239" w:rsidRDefault="00A66239" w:rsidP="00A66239">
            <w:pPr>
              <w:numPr>
                <w:ilvl w:val="0"/>
                <w:numId w:val="6"/>
              </w:numPr>
              <w:spacing w:after="80"/>
              <w:ind w:left="357" w:hanging="357"/>
              <w:rPr>
                <w:rFonts w:cs="Arial"/>
              </w:rPr>
            </w:pPr>
            <w:r w:rsidRPr="00A66239">
              <w:rPr>
                <w:rFonts w:cs="Arial"/>
              </w:rPr>
              <w:t xml:space="preserve">To cultivate effective working relationships with key </w:t>
            </w:r>
            <w:r w:rsidR="001C3837">
              <w:rPr>
                <w:rFonts w:cs="Arial"/>
              </w:rPr>
              <w:t>Clinical Academic P</w:t>
            </w:r>
            <w:r w:rsidR="00E0766C">
              <w:rPr>
                <w:rFonts w:cs="Arial"/>
              </w:rPr>
              <w:t>artnership</w:t>
            </w:r>
            <w:r w:rsidRPr="00A66239">
              <w:rPr>
                <w:rFonts w:cs="Arial"/>
              </w:rPr>
              <w:t xml:space="preserve"> stakeholders from KHP and its partners.  </w:t>
            </w:r>
          </w:p>
          <w:p w14:paraId="47FBA210" w14:textId="2E425FD9" w:rsidR="00A66239" w:rsidRPr="00A66239" w:rsidRDefault="00A66239" w:rsidP="00A66239">
            <w:pPr>
              <w:numPr>
                <w:ilvl w:val="0"/>
                <w:numId w:val="6"/>
              </w:numPr>
              <w:spacing w:after="80"/>
              <w:ind w:left="357" w:hanging="357"/>
              <w:rPr>
                <w:rFonts w:cs="Arial"/>
              </w:rPr>
            </w:pPr>
            <w:r w:rsidRPr="00A66239">
              <w:rPr>
                <w:rFonts w:cs="Arial"/>
              </w:rPr>
              <w:t xml:space="preserve">To develop, lead and manage a programme of activity that will deliver world-class </w:t>
            </w:r>
            <w:r w:rsidR="003C3A7B">
              <w:rPr>
                <w:rFonts w:cs="Arial"/>
              </w:rPr>
              <w:t xml:space="preserve">in </w:t>
            </w:r>
            <w:r w:rsidRPr="00A66239">
              <w:rPr>
                <w:rFonts w:cs="Arial"/>
              </w:rPr>
              <w:t xml:space="preserve">KHP </w:t>
            </w:r>
            <w:r w:rsidR="003C3A7B">
              <w:rPr>
                <w:rFonts w:cs="Arial"/>
              </w:rPr>
              <w:t>Diabetes, Endocrinology and Obesity</w:t>
            </w:r>
            <w:r w:rsidRPr="00A66239">
              <w:rPr>
                <w:rFonts w:cs="Arial"/>
              </w:rPr>
              <w:t>.</w:t>
            </w:r>
          </w:p>
          <w:p w14:paraId="1B851981" w14:textId="295E1F85" w:rsidR="00A66239" w:rsidRPr="00A66239" w:rsidRDefault="00A66239" w:rsidP="00A66239">
            <w:pPr>
              <w:numPr>
                <w:ilvl w:val="0"/>
                <w:numId w:val="6"/>
              </w:numPr>
              <w:spacing w:after="80"/>
              <w:ind w:left="357" w:hanging="357"/>
              <w:rPr>
                <w:rFonts w:cs="Arial"/>
              </w:rPr>
            </w:pPr>
            <w:r w:rsidRPr="00A66239">
              <w:rPr>
                <w:rFonts w:cs="Arial"/>
              </w:rPr>
              <w:t xml:space="preserve">To ensure that the resources required to establish the </w:t>
            </w:r>
            <w:r w:rsidR="00DB207E">
              <w:rPr>
                <w:rFonts w:cs="Arial"/>
              </w:rPr>
              <w:t>Clinical Academic P</w:t>
            </w:r>
            <w:r w:rsidR="00E0766C">
              <w:rPr>
                <w:rFonts w:cs="Arial"/>
              </w:rPr>
              <w:t>artnership</w:t>
            </w:r>
            <w:r w:rsidRPr="00A66239">
              <w:rPr>
                <w:rFonts w:cs="Arial"/>
              </w:rPr>
              <w:t xml:space="preserve"> (including space, staff and funding) are secured through appropriate internal and external channels and used effectively. </w:t>
            </w:r>
          </w:p>
          <w:p w14:paraId="5C302D99" w14:textId="6C10B9B5" w:rsidR="00A66239" w:rsidRPr="00A66239" w:rsidRDefault="00A66239" w:rsidP="00A66239">
            <w:pPr>
              <w:numPr>
                <w:ilvl w:val="0"/>
                <w:numId w:val="6"/>
              </w:numPr>
              <w:spacing w:after="80"/>
              <w:ind w:left="357" w:hanging="357"/>
              <w:rPr>
                <w:rFonts w:cs="Arial"/>
              </w:rPr>
            </w:pPr>
            <w:r w:rsidRPr="00A66239">
              <w:rPr>
                <w:rFonts w:cs="Arial"/>
              </w:rPr>
              <w:t xml:space="preserve">To work with colleagues from professional services and management to ensure that effective governance and management structures are established for the </w:t>
            </w:r>
            <w:r w:rsidR="00DB207E">
              <w:rPr>
                <w:rFonts w:cs="Arial"/>
              </w:rPr>
              <w:t>Clinical Academic P</w:t>
            </w:r>
            <w:r w:rsidR="00E0766C">
              <w:rPr>
                <w:rFonts w:cs="Arial"/>
              </w:rPr>
              <w:t>artnership</w:t>
            </w:r>
            <w:r w:rsidRPr="00A66239">
              <w:rPr>
                <w:rFonts w:cs="Arial"/>
              </w:rPr>
              <w:t>.</w:t>
            </w:r>
          </w:p>
          <w:p w14:paraId="3F522837" w14:textId="5C63DEC3" w:rsidR="00A66239" w:rsidRPr="00A66239" w:rsidRDefault="00A66239" w:rsidP="00A66239">
            <w:pPr>
              <w:numPr>
                <w:ilvl w:val="0"/>
                <w:numId w:val="6"/>
              </w:numPr>
              <w:spacing w:after="80"/>
              <w:ind w:left="357" w:hanging="357"/>
              <w:rPr>
                <w:rFonts w:cs="Arial"/>
              </w:rPr>
            </w:pPr>
            <w:r w:rsidRPr="00A66239">
              <w:rPr>
                <w:rFonts w:cs="Arial"/>
              </w:rPr>
              <w:t xml:space="preserve">To ensure development and delivery of </w:t>
            </w:r>
            <w:r w:rsidR="00DB207E">
              <w:rPr>
                <w:rFonts w:cs="Arial"/>
              </w:rPr>
              <w:t>Clinical Academic P</w:t>
            </w:r>
            <w:r w:rsidR="00E0766C">
              <w:rPr>
                <w:rFonts w:cs="Arial"/>
              </w:rPr>
              <w:t>artnership</w:t>
            </w:r>
            <w:r w:rsidRPr="00A66239">
              <w:rPr>
                <w:rFonts w:cs="Arial"/>
              </w:rPr>
              <w:t xml:space="preserve"> research and innovation, and education and training strategies that reflect the expertise, needs and priorities of the partner organisations. </w:t>
            </w:r>
          </w:p>
          <w:p w14:paraId="4DDD9375" w14:textId="77777777" w:rsidR="00A66239" w:rsidRPr="00A66239" w:rsidRDefault="00A66239" w:rsidP="00A66239">
            <w:pPr>
              <w:numPr>
                <w:ilvl w:val="0"/>
                <w:numId w:val="6"/>
              </w:numPr>
              <w:spacing w:after="80"/>
              <w:ind w:left="357" w:hanging="357"/>
              <w:rPr>
                <w:rFonts w:cs="Arial"/>
              </w:rPr>
            </w:pPr>
            <w:r w:rsidRPr="00A66239">
              <w:rPr>
                <w:rFonts w:cs="Arial"/>
              </w:rPr>
              <w:t>To ensure development and implementation of a new operational business model where partners agree joint appointments, joint business cases and there are agreed budget processes and approaches to promote financial trust and transparency in all joint endeavours.</w:t>
            </w:r>
          </w:p>
          <w:p w14:paraId="486EC24D" w14:textId="5AB479C5" w:rsidR="00A66239" w:rsidRPr="00A66239" w:rsidRDefault="00A66239" w:rsidP="00A66239">
            <w:pPr>
              <w:numPr>
                <w:ilvl w:val="0"/>
                <w:numId w:val="6"/>
              </w:numPr>
              <w:spacing w:after="80"/>
              <w:ind w:left="357" w:hanging="357"/>
              <w:rPr>
                <w:rFonts w:cs="Arial"/>
              </w:rPr>
            </w:pPr>
            <w:r w:rsidRPr="00A66239">
              <w:rPr>
                <w:rFonts w:cs="Arial"/>
              </w:rPr>
              <w:lastRenderedPageBreak/>
              <w:t xml:space="preserve">To identify and deliver value-adding opportunities for the </w:t>
            </w:r>
            <w:r w:rsidR="00DB207E">
              <w:rPr>
                <w:rFonts w:cs="Arial"/>
              </w:rPr>
              <w:t>Clinical Academic P</w:t>
            </w:r>
            <w:r w:rsidR="00E0766C">
              <w:rPr>
                <w:rFonts w:cs="Arial"/>
              </w:rPr>
              <w:t>artnership</w:t>
            </w:r>
            <w:r w:rsidRPr="00A66239">
              <w:rPr>
                <w:rFonts w:cs="Arial"/>
              </w:rPr>
              <w:t xml:space="preserve"> partners and ensure that the benefits of these for the organisations and their patients, staff and students are both demonstrable and realised. </w:t>
            </w:r>
          </w:p>
          <w:p w14:paraId="5C20D2CC" w14:textId="7AC33553" w:rsidR="00A66239" w:rsidRPr="00A66239" w:rsidRDefault="00A66239" w:rsidP="00A66239">
            <w:pPr>
              <w:numPr>
                <w:ilvl w:val="0"/>
                <w:numId w:val="6"/>
              </w:numPr>
              <w:spacing w:after="80"/>
              <w:ind w:left="357" w:hanging="357"/>
              <w:rPr>
                <w:rFonts w:cs="Arial"/>
              </w:rPr>
            </w:pPr>
            <w:r w:rsidRPr="00A66239">
              <w:rPr>
                <w:rFonts w:cs="Arial"/>
              </w:rPr>
              <w:t xml:space="preserve">To act as a champion and advocate for clinical and academic researchers in </w:t>
            </w:r>
            <w:r w:rsidR="00732D0E">
              <w:rPr>
                <w:rFonts w:cs="Arial"/>
              </w:rPr>
              <w:t>diabetes, endocrinology and obesity</w:t>
            </w:r>
            <w:r w:rsidRPr="00A66239">
              <w:rPr>
                <w:rFonts w:cs="Arial"/>
              </w:rPr>
              <w:t xml:space="preserve"> across KHP, at all stages of their careers. </w:t>
            </w:r>
          </w:p>
          <w:p w14:paraId="7243B93E" w14:textId="42786CAF" w:rsidR="00A66239" w:rsidRPr="00A66239" w:rsidRDefault="00A66239" w:rsidP="00A66239">
            <w:pPr>
              <w:numPr>
                <w:ilvl w:val="0"/>
                <w:numId w:val="6"/>
              </w:numPr>
              <w:spacing w:after="80"/>
              <w:ind w:left="357" w:hanging="357"/>
              <w:rPr>
                <w:rFonts w:cs="Arial"/>
              </w:rPr>
            </w:pPr>
            <w:r w:rsidRPr="00A66239">
              <w:rPr>
                <w:rFonts w:cs="Arial"/>
              </w:rPr>
              <w:t xml:space="preserve">To be the advocate ensuring patients and the local population are at the centre of all developments and KHP patients and parents have an on-going, life course relationship with the </w:t>
            </w:r>
            <w:r w:rsidR="00732D0E">
              <w:rPr>
                <w:rFonts w:cs="Arial"/>
              </w:rPr>
              <w:t>Clinical Academic P</w:t>
            </w:r>
            <w:r w:rsidR="00E0766C">
              <w:rPr>
                <w:rFonts w:cs="Arial"/>
              </w:rPr>
              <w:t>artnership</w:t>
            </w:r>
            <w:r w:rsidRPr="00A66239">
              <w:rPr>
                <w:rFonts w:cs="Arial"/>
              </w:rPr>
              <w:t xml:space="preserve">. </w:t>
            </w:r>
          </w:p>
          <w:p w14:paraId="2B267743" w14:textId="75632906" w:rsidR="00A66239" w:rsidRPr="00A66239" w:rsidRDefault="00A66239" w:rsidP="00A66239">
            <w:pPr>
              <w:numPr>
                <w:ilvl w:val="0"/>
                <w:numId w:val="6"/>
              </w:numPr>
              <w:spacing w:after="80"/>
              <w:ind w:left="357" w:hanging="357"/>
              <w:rPr>
                <w:rFonts w:cs="Arial"/>
              </w:rPr>
            </w:pPr>
            <w:r w:rsidRPr="00A66239">
              <w:rPr>
                <w:rFonts w:cs="Arial"/>
              </w:rPr>
              <w:t xml:space="preserve">To act as an ambassador for the </w:t>
            </w:r>
            <w:r w:rsidR="00732D0E">
              <w:rPr>
                <w:rFonts w:cs="Arial"/>
              </w:rPr>
              <w:t>Clinical Academic P</w:t>
            </w:r>
            <w:r w:rsidR="00E0766C">
              <w:rPr>
                <w:rFonts w:cs="Arial"/>
              </w:rPr>
              <w:t>artnership</w:t>
            </w:r>
            <w:r w:rsidRPr="00A66239">
              <w:rPr>
                <w:rFonts w:cs="Arial"/>
              </w:rPr>
              <w:t xml:space="preserve">, promoting its activities, engagement and value across KHP, nationally and internationally. </w:t>
            </w:r>
          </w:p>
          <w:p w14:paraId="7DBA0301" w14:textId="77777777" w:rsidR="00A66239" w:rsidRPr="00A66239" w:rsidRDefault="00A66239" w:rsidP="00A66239">
            <w:pPr>
              <w:numPr>
                <w:ilvl w:val="0"/>
                <w:numId w:val="6"/>
              </w:numPr>
              <w:spacing w:after="80"/>
              <w:ind w:left="357" w:hanging="357"/>
              <w:rPr>
                <w:rFonts w:cs="Arial"/>
              </w:rPr>
            </w:pPr>
            <w:r w:rsidRPr="00A66239">
              <w:rPr>
                <w:rFonts w:cs="Arial"/>
              </w:rPr>
              <w:t>To develop and maintain key strategic relationships for example GST Charity, BRC’s, research funders, Government, industry and commercial partners.</w:t>
            </w:r>
          </w:p>
          <w:p w14:paraId="64122A02" w14:textId="5EAC9916" w:rsidR="00A66239" w:rsidRPr="00A66239" w:rsidRDefault="00A66239" w:rsidP="00A66239">
            <w:pPr>
              <w:numPr>
                <w:ilvl w:val="0"/>
                <w:numId w:val="6"/>
              </w:numPr>
              <w:spacing w:after="80"/>
              <w:ind w:left="357" w:hanging="357"/>
              <w:rPr>
                <w:rFonts w:cs="Arial"/>
              </w:rPr>
            </w:pPr>
            <w:r w:rsidRPr="00A66239">
              <w:rPr>
                <w:rFonts w:cs="Arial"/>
              </w:rPr>
              <w:t xml:space="preserve">Ensure regular reporting of progress and performance through the </w:t>
            </w:r>
            <w:r w:rsidR="00FA6EFD">
              <w:rPr>
                <w:rFonts w:cs="Arial"/>
              </w:rPr>
              <w:t>Clinical Academic P</w:t>
            </w:r>
            <w:r w:rsidR="00E0766C">
              <w:rPr>
                <w:rFonts w:cs="Arial"/>
              </w:rPr>
              <w:t xml:space="preserve">artnership </w:t>
            </w:r>
            <w:r w:rsidRPr="00A66239">
              <w:rPr>
                <w:rFonts w:cs="Arial"/>
              </w:rPr>
              <w:t>governance chain, to KHP and Partners’ boards.</w:t>
            </w:r>
          </w:p>
        </w:tc>
      </w:tr>
    </w:tbl>
    <w:p w14:paraId="3605BB00" w14:textId="77777777" w:rsidR="00A66239" w:rsidRPr="00A66239" w:rsidRDefault="00A66239" w:rsidP="00A66239"/>
    <w:tbl>
      <w:tblPr>
        <w:tblW w:w="10369" w:type="dxa"/>
        <w:jc w:val="center"/>
        <w:tblLayout w:type="fixed"/>
        <w:tblLook w:val="0000" w:firstRow="0" w:lastRow="0" w:firstColumn="0" w:lastColumn="0" w:noHBand="0" w:noVBand="0"/>
      </w:tblPr>
      <w:tblGrid>
        <w:gridCol w:w="5245"/>
        <w:gridCol w:w="5124"/>
      </w:tblGrid>
      <w:tr w:rsidR="00A66239" w:rsidRPr="00A66239" w14:paraId="013AF62E" w14:textId="77777777" w:rsidTr="00761D63">
        <w:trPr>
          <w:jc w:val="center"/>
        </w:trPr>
        <w:tc>
          <w:tcPr>
            <w:tcW w:w="10369"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4E3C64B" w14:textId="77777777" w:rsidR="00A66239" w:rsidRPr="00A66239" w:rsidRDefault="00A66239" w:rsidP="00422A93">
            <w:pPr>
              <w:pStyle w:val="BodyTextIndent"/>
              <w:spacing w:before="120" w:after="200"/>
              <w:ind w:left="0"/>
              <w:rPr>
                <w:rFonts w:cs="Arial"/>
                <w:b/>
                <w:bCs/>
              </w:rPr>
            </w:pPr>
            <w:r w:rsidRPr="00A66239">
              <w:rPr>
                <w:rFonts w:cs="Arial"/>
                <w:b/>
                <w:bCs/>
                <w:color w:val="FFFFFF" w:themeColor="background1"/>
              </w:rPr>
              <w:t>KEY COMMUNICATIONS AND WORKING RELATIONSHIPS</w:t>
            </w:r>
          </w:p>
        </w:tc>
      </w:tr>
      <w:tr w:rsidR="00A66239" w:rsidRPr="00A66239" w14:paraId="04471944" w14:textId="77777777" w:rsidTr="00761D63">
        <w:trPr>
          <w:jc w:val="center"/>
        </w:trPr>
        <w:tc>
          <w:tcPr>
            <w:tcW w:w="5245" w:type="dxa"/>
            <w:tcBorders>
              <w:top w:val="single" w:sz="4" w:space="0" w:color="000000"/>
              <w:left w:val="single" w:sz="4" w:space="0" w:color="000000"/>
              <w:bottom w:val="single" w:sz="4" w:space="0" w:color="000000"/>
              <w:right w:val="single" w:sz="4" w:space="0" w:color="000000"/>
            </w:tcBorders>
          </w:tcPr>
          <w:p w14:paraId="4E02E866" w14:textId="77777777" w:rsidR="00A66239" w:rsidRPr="00A66239" w:rsidRDefault="00A66239" w:rsidP="00422A93">
            <w:pPr>
              <w:spacing w:after="0" w:line="240" w:lineRule="auto"/>
              <w:rPr>
                <w:rFonts w:cs="Arial"/>
                <w:b/>
                <w:bCs/>
              </w:rPr>
            </w:pPr>
            <w:r w:rsidRPr="00A66239">
              <w:rPr>
                <w:rFonts w:cs="Arial"/>
                <w:b/>
                <w:bCs/>
              </w:rPr>
              <w:t>Internal</w:t>
            </w:r>
          </w:p>
          <w:p w14:paraId="609A78E8" w14:textId="772A1BF0" w:rsidR="00A66239" w:rsidRPr="00A66239" w:rsidRDefault="00A66239" w:rsidP="00422A93">
            <w:pPr>
              <w:spacing w:after="0" w:line="240" w:lineRule="auto"/>
              <w:rPr>
                <w:rFonts w:cs="Arial"/>
                <w:b/>
                <w:bCs/>
              </w:rPr>
            </w:pPr>
          </w:p>
        </w:tc>
        <w:tc>
          <w:tcPr>
            <w:tcW w:w="5124" w:type="dxa"/>
            <w:tcBorders>
              <w:top w:val="single" w:sz="4" w:space="0" w:color="000000"/>
              <w:left w:val="single" w:sz="4" w:space="0" w:color="000000"/>
              <w:bottom w:val="single" w:sz="4" w:space="0" w:color="000000"/>
              <w:right w:val="single" w:sz="4" w:space="0" w:color="000000"/>
            </w:tcBorders>
          </w:tcPr>
          <w:p w14:paraId="211D3825" w14:textId="77777777" w:rsidR="00A66239" w:rsidRPr="00A66239" w:rsidRDefault="00A66239" w:rsidP="00422A93">
            <w:pPr>
              <w:spacing w:after="0" w:line="240" w:lineRule="auto"/>
              <w:rPr>
                <w:rFonts w:cs="Arial"/>
                <w:b/>
                <w:bCs/>
              </w:rPr>
            </w:pPr>
            <w:r w:rsidRPr="00A66239">
              <w:rPr>
                <w:rFonts w:cs="Arial"/>
                <w:b/>
                <w:bCs/>
              </w:rPr>
              <w:t>External</w:t>
            </w:r>
          </w:p>
          <w:p w14:paraId="78FFB170" w14:textId="77777777" w:rsidR="00A66239" w:rsidRPr="00A66239" w:rsidRDefault="00A66239" w:rsidP="00422A93">
            <w:pPr>
              <w:spacing w:after="0" w:line="240" w:lineRule="auto"/>
              <w:rPr>
                <w:rFonts w:cs="Arial"/>
                <w:b/>
                <w:bCs/>
              </w:rPr>
            </w:pPr>
            <w:r w:rsidRPr="00A66239">
              <w:rPr>
                <w:rFonts w:cs="Arial"/>
                <w:b/>
                <w:bCs/>
              </w:rPr>
              <w:t>(</w:t>
            </w:r>
            <w:proofErr w:type="gramStart"/>
            <w:r w:rsidRPr="00A66239">
              <w:rPr>
                <w:rFonts w:cs="Arial"/>
                <w:b/>
                <w:bCs/>
              </w:rPr>
              <w:t>where</w:t>
            </w:r>
            <w:proofErr w:type="gramEnd"/>
            <w:r w:rsidRPr="00A66239">
              <w:rPr>
                <w:rFonts w:cs="Arial"/>
                <w:b/>
                <w:bCs/>
              </w:rPr>
              <w:t xml:space="preserve"> appropriate as the Institute develops)</w:t>
            </w:r>
          </w:p>
        </w:tc>
      </w:tr>
      <w:tr w:rsidR="00A66239" w:rsidRPr="00A66239" w14:paraId="7D52007F" w14:textId="77777777" w:rsidTr="00761D63">
        <w:trPr>
          <w:jc w:val="center"/>
        </w:trPr>
        <w:tc>
          <w:tcPr>
            <w:tcW w:w="5245" w:type="dxa"/>
            <w:tcBorders>
              <w:top w:val="single" w:sz="4" w:space="0" w:color="000000"/>
              <w:left w:val="single" w:sz="4" w:space="0" w:color="000000"/>
              <w:bottom w:val="single" w:sz="4" w:space="0" w:color="000000"/>
              <w:right w:val="single" w:sz="4" w:space="0" w:color="000000"/>
            </w:tcBorders>
          </w:tcPr>
          <w:p w14:paraId="36A0F7AE" w14:textId="6D1F07EA" w:rsidR="00A66239" w:rsidRDefault="00A66239" w:rsidP="00A66239">
            <w:pPr>
              <w:numPr>
                <w:ilvl w:val="0"/>
                <w:numId w:val="5"/>
              </w:numPr>
              <w:spacing w:after="0"/>
              <w:rPr>
                <w:rFonts w:cs="Arial"/>
              </w:rPr>
            </w:pPr>
            <w:r w:rsidRPr="00A66239">
              <w:rPr>
                <w:rFonts w:cs="Arial"/>
              </w:rPr>
              <w:t>KHP Executive Director</w:t>
            </w:r>
          </w:p>
          <w:p w14:paraId="5A7F9B29" w14:textId="34D27CEE" w:rsidR="00A66239" w:rsidRPr="00A66239" w:rsidRDefault="00FA6EFD" w:rsidP="00A66239">
            <w:pPr>
              <w:numPr>
                <w:ilvl w:val="0"/>
                <w:numId w:val="5"/>
              </w:numPr>
              <w:spacing w:after="0"/>
              <w:rPr>
                <w:rFonts w:cs="Arial"/>
              </w:rPr>
            </w:pPr>
            <w:r>
              <w:rPr>
                <w:rFonts w:cs="Arial"/>
              </w:rPr>
              <w:t>DEO</w:t>
            </w:r>
            <w:r w:rsidR="00A66239">
              <w:rPr>
                <w:rFonts w:cs="Arial"/>
              </w:rPr>
              <w:t xml:space="preserve"> Programme Board</w:t>
            </w:r>
          </w:p>
          <w:p w14:paraId="584AADF8" w14:textId="10E9DF36" w:rsidR="00A66239" w:rsidRPr="00A66239" w:rsidRDefault="00A66239" w:rsidP="00A66239">
            <w:pPr>
              <w:numPr>
                <w:ilvl w:val="0"/>
                <w:numId w:val="5"/>
              </w:numPr>
              <w:spacing w:after="0"/>
              <w:rPr>
                <w:rFonts w:cs="Arial"/>
              </w:rPr>
            </w:pPr>
            <w:r w:rsidRPr="00A66239">
              <w:rPr>
                <w:rFonts w:cs="Arial"/>
              </w:rPr>
              <w:t xml:space="preserve">KHP Management Team – in particular the </w:t>
            </w:r>
            <w:r w:rsidR="00FA6EFD">
              <w:rPr>
                <w:rFonts w:cs="Arial"/>
              </w:rPr>
              <w:t>Managing Director</w:t>
            </w:r>
            <w:r w:rsidR="008D6CCC">
              <w:rPr>
                <w:rFonts w:cs="Arial"/>
              </w:rPr>
              <w:t xml:space="preserve">, Director of Partnerships and Programmes </w:t>
            </w:r>
            <w:r w:rsidRPr="00A66239">
              <w:rPr>
                <w:rFonts w:cs="Arial"/>
              </w:rPr>
              <w:t xml:space="preserve">and, </w:t>
            </w:r>
            <w:r w:rsidR="008D6CCC">
              <w:rPr>
                <w:rFonts w:cs="Arial"/>
              </w:rPr>
              <w:t xml:space="preserve">Director of </w:t>
            </w:r>
            <w:r w:rsidRPr="00A66239">
              <w:rPr>
                <w:rFonts w:cs="Arial"/>
              </w:rPr>
              <w:t xml:space="preserve">Education and Training </w:t>
            </w:r>
          </w:p>
          <w:p w14:paraId="4400E22E" w14:textId="77777777" w:rsidR="00A66239" w:rsidRPr="00A66239" w:rsidRDefault="00A66239" w:rsidP="00A66239">
            <w:pPr>
              <w:numPr>
                <w:ilvl w:val="0"/>
                <w:numId w:val="5"/>
              </w:numPr>
              <w:spacing w:after="0"/>
              <w:rPr>
                <w:rFonts w:cs="Arial"/>
              </w:rPr>
            </w:pPr>
            <w:r w:rsidRPr="00A66239">
              <w:rPr>
                <w:rFonts w:cs="Arial"/>
              </w:rPr>
              <w:t>KHP Partner Trust Management Executives</w:t>
            </w:r>
          </w:p>
          <w:p w14:paraId="70F1C571" w14:textId="3C5F5630" w:rsidR="00A66239" w:rsidRPr="00A66239" w:rsidRDefault="00A66239" w:rsidP="00A66239">
            <w:pPr>
              <w:numPr>
                <w:ilvl w:val="0"/>
                <w:numId w:val="5"/>
              </w:numPr>
              <w:spacing w:after="0"/>
              <w:rPr>
                <w:rFonts w:cs="Arial"/>
              </w:rPr>
            </w:pPr>
            <w:r w:rsidRPr="00A66239">
              <w:rPr>
                <w:rFonts w:cs="Arial"/>
              </w:rPr>
              <w:t xml:space="preserve">Service and Clinical Directors, Senior Clinical Leaders and / or Deputy Medical Directors for </w:t>
            </w:r>
            <w:r w:rsidR="008D6CCC">
              <w:rPr>
                <w:rFonts w:cs="Arial"/>
              </w:rPr>
              <w:t>Diabetes, Endocrinology and Obesity</w:t>
            </w:r>
            <w:r w:rsidRPr="00A66239">
              <w:rPr>
                <w:rFonts w:cs="Arial"/>
              </w:rPr>
              <w:t xml:space="preserve"> within all KHP NHS Partners</w:t>
            </w:r>
          </w:p>
          <w:p w14:paraId="4B4A9A85" w14:textId="3D989670" w:rsidR="00A66239" w:rsidRPr="00A66239" w:rsidRDefault="00A66239" w:rsidP="00A66239">
            <w:pPr>
              <w:numPr>
                <w:ilvl w:val="0"/>
                <w:numId w:val="5"/>
              </w:numPr>
              <w:spacing w:after="0"/>
              <w:rPr>
                <w:rFonts w:cs="Arial"/>
              </w:rPr>
            </w:pPr>
            <w:r w:rsidRPr="00A66239">
              <w:rPr>
                <w:rFonts w:cs="Arial"/>
              </w:rPr>
              <w:t xml:space="preserve">Head of the KCL Department of </w:t>
            </w:r>
            <w:r w:rsidR="008D6CCC">
              <w:rPr>
                <w:rFonts w:cs="Arial"/>
              </w:rPr>
              <w:t>Diabetes, Endocrinology and Obesity</w:t>
            </w:r>
          </w:p>
          <w:p w14:paraId="0816B79D" w14:textId="77777777" w:rsidR="00A66239" w:rsidRPr="00A66239" w:rsidRDefault="00A66239" w:rsidP="00A66239">
            <w:pPr>
              <w:numPr>
                <w:ilvl w:val="0"/>
                <w:numId w:val="5"/>
              </w:numPr>
              <w:spacing w:after="0"/>
              <w:rPr>
                <w:rFonts w:cs="Arial"/>
              </w:rPr>
            </w:pPr>
            <w:r w:rsidRPr="00A66239">
              <w:rPr>
                <w:rFonts w:cs="Arial"/>
              </w:rPr>
              <w:t xml:space="preserve">Deans / Heads of relevant KCL Faculties and Schools </w:t>
            </w:r>
          </w:p>
          <w:p w14:paraId="6A8EA699" w14:textId="77777777" w:rsidR="00A66239" w:rsidRPr="00A66239" w:rsidRDefault="00A66239" w:rsidP="00A66239">
            <w:pPr>
              <w:numPr>
                <w:ilvl w:val="0"/>
                <w:numId w:val="5"/>
              </w:numPr>
              <w:spacing w:after="0"/>
              <w:rPr>
                <w:rFonts w:cs="Arial"/>
              </w:rPr>
            </w:pPr>
            <w:r w:rsidRPr="00A66239">
              <w:rPr>
                <w:rFonts w:cs="Arial"/>
              </w:rPr>
              <w:t xml:space="preserve">Research and education </w:t>
            </w:r>
            <w:proofErr w:type="gramStart"/>
            <w:r w:rsidRPr="00A66239">
              <w:rPr>
                <w:rFonts w:cs="Arial"/>
              </w:rPr>
              <w:t>leads</w:t>
            </w:r>
            <w:proofErr w:type="gramEnd"/>
            <w:r w:rsidRPr="00A66239">
              <w:rPr>
                <w:rFonts w:cs="Arial"/>
              </w:rPr>
              <w:t xml:space="preserve"> within all Partners </w:t>
            </w:r>
          </w:p>
          <w:p w14:paraId="7D9A2DFE" w14:textId="77777777" w:rsidR="00A66239" w:rsidRPr="00A66239" w:rsidRDefault="00A66239" w:rsidP="00A66239">
            <w:pPr>
              <w:numPr>
                <w:ilvl w:val="0"/>
                <w:numId w:val="5"/>
              </w:numPr>
              <w:spacing w:after="0"/>
              <w:rPr>
                <w:rFonts w:cs="Arial"/>
              </w:rPr>
            </w:pPr>
            <w:r w:rsidRPr="00A66239">
              <w:rPr>
                <w:rFonts w:cs="Arial"/>
              </w:rPr>
              <w:t xml:space="preserve">Leadership team of GSTT and SLAM BRCs </w:t>
            </w:r>
          </w:p>
          <w:p w14:paraId="1EE3777D" w14:textId="77777777" w:rsidR="00A66239" w:rsidRPr="00A66239" w:rsidRDefault="00A66239" w:rsidP="00A66239">
            <w:pPr>
              <w:numPr>
                <w:ilvl w:val="0"/>
                <w:numId w:val="5"/>
              </w:numPr>
              <w:spacing w:after="0"/>
              <w:rPr>
                <w:rFonts w:cs="Arial"/>
              </w:rPr>
            </w:pPr>
            <w:r w:rsidRPr="00A66239">
              <w:rPr>
                <w:rFonts w:cs="Arial"/>
              </w:rPr>
              <w:t>GST Charity</w:t>
            </w:r>
          </w:p>
          <w:p w14:paraId="176BC6F6" w14:textId="77777777" w:rsidR="00A66239" w:rsidRPr="00A66239" w:rsidRDefault="00A66239" w:rsidP="00A66239">
            <w:pPr>
              <w:numPr>
                <w:ilvl w:val="0"/>
                <w:numId w:val="5"/>
              </w:numPr>
              <w:spacing w:after="0"/>
              <w:rPr>
                <w:rFonts w:cs="Arial"/>
              </w:rPr>
            </w:pPr>
            <w:r w:rsidRPr="00A66239">
              <w:rPr>
                <w:rFonts w:cs="Arial"/>
              </w:rPr>
              <w:t>KHP Fundraising and Supporter Development</w:t>
            </w:r>
          </w:p>
        </w:tc>
        <w:tc>
          <w:tcPr>
            <w:tcW w:w="5124" w:type="dxa"/>
            <w:tcBorders>
              <w:top w:val="single" w:sz="4" w:space="0" w:color="000000"/>
              <w:left w:val="single" w:sz="4" w:space="0" w:color="000000"/>
              <w:bottom w:val="single" w:sz="4" w:space="0" w:color="000000"/>
              <w:right w:val="single" w:sz="4" w:space="0" w:color="000000"/>
            </w:tcBorders>
          </w:tcPr>
          <w:p w14:paraId="1CBC88F6" w14:textId="3844FFFD" w:rsidR="00A66239" w:rsidRPr="00A66239" w:rsidRDefault="00A66239" w:rsidP="00A66239">
            <w:pPr>
              <w:numPr>
                <w:ilvl w:val="0"/>
                <w:numId w:val="5"/>
              </w:numPr>
              <w:spacing w:after="0"/>
              <w:rPr>
                <w:rFonts w:cs="Arial"/>
              </w:rPr>
            </w:pPr>
            <w:r w:rsidRPr="00A66239">
              <w:rPr>
                <w:rFonts w:cs="Arial"/>
              </w:rPr>
              <w:t xml:space="preserve">Research grant funding bodies relevant to </w:t>
            </w:r>
            <w:r w:rsidR="008D6CCC">
              <w:rPr>
                <w:rFonts w:cs="Arial"/>
              </w:rPr>
              <w:t>diabetes, endocrinology and obesity</w:t>
            </w:r>
            <w:r w:rsidRPr="00A66239">
              <w:rPr>
                <w:rFonts w:cs="Arial"/>
              </w:rPr>
              <w:t xml:space="preserve"> health.</w:t>
            </w:r>
          </w:p>
          <w:p w14:paraId="07DF04AF" w14:textId="77777777" w:rsidR="00A66239" w:rsidRPr="00A66239" w:rsidRDefault="00A66239" w:rsidP="00A66239">
            <w:pPr>
              <w:numPr>
                <w:ilvl w:val="0"/>
                <w:numId w:val="5"/>
              </w:numPr>
              <w:spacing w:after="0"/>
              <w:rPr>
                <w:rFonts w:cs="Arial"/>
              </w:rPr>
            </w:pPr>
            <w:r w:rsidRPr="00A66239">
              <w:rPr>
                <w:rFonts w:cs="Arial"/>
              </w:rPr>
              <w:t>Leads of NHS and other innovation organisations and hubs.</w:t>
            </w:r>
          </w:p>
          <w:p w14:paraId="11C373B6" w14:textId="77777777" w:rsidR="00A66239" w:rsidRPr="00A66239" w:rsidRDefault="00A66239" w:rsidP="00A66239">
            <w:pPr>
              <w:numPr>
                <w:ilvl w:val="0"/>
                <w:numId w:val="5"/>
              </w:numPr>
              <w:spacing w:after="0"/>
              <w:rPr>
                <w:rFonts w:cs="Arial"/>
              </w:rPr>
            </w:pPr>
            <w:r w:rsidRPr="00A66239">
              <w:rPr>
                <w:rFonts w:cs="Arial"/>
              </w:rPr>
              <w:t>Current and potential academic partners both national and international.</w:t>
            </w:r>
          </w:p>
          <w:p w14:paraId="123AC132" w14:textId="77777777" w:rsidR="00A66239" w:rsidRPr="00A66239" w:rsidRDefault="00A66239" w:rsidP="00A66239">
            <w:pPr>
              <w:numPr>
                <w:ilvl w:val="0"/>
                <w:numId w:val="5"/>
              </w:numPr>
              <w:spacing w:after="0"/>
              <w:rPr>
                <w:rFonts w:cs="Arial"/>
              </w:rPr>
            </w:pPr>
            <w:r w:rsidRPr="00A66239">
              <w:rPr>
                <w:rFonts w:cs="Arial"/>
              </w:rPr>
              <w:t xml:space="preserve">Relevant academic and professional bodies and associations. </w:t>
            </w:r>
          </w:p>
          <w:p w14:paraId="731257DA" w14:textId="77777777" w:rsidR="00A66239" w:rsidRPr="00A66239" w:rsidRDefault="00A66239" w:rsidP="00A66239">
            <w:pPr>
              <w:numPr>
                <w:ilvl w:val="0"/>
                <w:numId w:val="5"/>
              </w:numPr>
              <w:spacing w:after="0"/>
              <w:rPr>
                <w:rFonts w:cs="Arial"/>
              </w:rPr>
            </w:pPr>
            <w:r w:rsidRPr="00A66239">
              <w:rPr>
                <w:rFonts w:cs="Arial"/>
              </w:rPr>
              <w:t>Current and potential commercial partners.</w:t>
            </w:r>
          </w:p>
          <w:p w14:paraId="21C14B58" w14:textId="4A1D6673" w:rsidR="00A66239" w:rsidRPr="00A66239" w:rsidRDefault="00A66239" w:rsidP="00A66239">
            <w:pPr>
              <w:numPr>
                <w:ilvl w:val="0"/>
                <w:numId w:val="5"/>
              </w:numPr>
              <w:spacing w:after="0"/>
              <w:rPr>
                <w:rFonts w:cs="Arial"/>
              </w:rPr>
            </w:pPr>
            <w:r w:rsidRPr="00A66239">
              <w:rPr>
                <w:rFonts w:cs="Arial"/>
              </w:rPr>
              <w:t>Education and Training partners – Royal Colleges, Health Education England, Patient and service users.</w:t>
            </w:r>
          </w:p>
          <w:p w14:paraId="0F744045" w14:textId="6ABA9D88" w:rsidR="00A66239" w:rsidRPr="00A66239" w:rsidRDefault="00A66239" w:rsidP="00A66239">
            <w:pPr>
              <w:numPr>
                <w:ilvl w:val="0"/>
                <w:numId w:val="5"/>
              </w:numPr>
              <w:spacing w:after="0"/>
              <w:rPr>
                <w:rFonts w:cs="Arial"/>
              </w:rPr>
            </w:pPr>
            <w:r w:rsidRPr="00A66239">
              <w:rPr>
                <w:rFonts w:cs="Arial"/>
              </w:rPr>
              <w:t xml:space="preserve">Government and policy-making bodies with influence on </w:t>
            </w:r>
            <w:r w:rsidR="00F80745">
              <w:rPr>
                <w:rFonts w:cs="Arial"/>
              </w:rPr>
              <w:t>diabetes, endocrinology and obesity</w:t>
            </w:r>
            <w:r w:rsidRPr="00A66239">
              <w:rPr>
                <w:rFonts w:cs="Arial"/>
              </w:rPr>
              <w:t xml:space="preserve"> health. </w:t>
            </w:r>
          </w:p>
          <w:p w14:paraId="79D24D9C" w14:textId="77777777" w:rsidR="00A66239" w:rsidRPr="00A66239" w:rsidRDefault="00A66239" w:rsidP="00A66239">
            <w:pPr>
              <w:numPr>
                <w:ilvl w:val="0"/>
                <w:numId w:val="5"/>
              </w:numPr>
              <w:spacing w:after="0"/>
              <w:rPr>
                <w:rFonts w:cs="Arial"/>
              </w:rPr>
            </w:pPr>
            <w:r w:rsidRPr="00A66239">
              <w:rPr>
                <w:rFonts w:cs="Arial"/>
              </w:rPr>
              <w:t>Patient and parent advocacy / engagements groups.</w:t>
            </w:r>
          </w:p>
          <w:p w14:paraId="13F862DE" w14:textId="1F01E0E4" w:rsidR="00A66239" w:rsidRPr="00A66239" w:rsidRDefault="00A66239" w:rsidP="00A66239">
            <w:pPr>
              <w:numPr>
                <w:ilvl w:val="0"/>
                <w:numId w:val="5"/>
              </w:numPr>
              <w:spacing w:after="0"/>
              <w:rPr>
                <w:rFonts w:cs="Arial"/>
              </w:rPr>
            </w:pPr>
            <w:r w:rsidRPr="00A66239">
              <w:rPr>
                <w:rFonts w:cs="Arial"/>
              </w:rPr>
              <w:t xml:space="preserve">Potential (and current) donors of </w:t>
            </w:r>
            <w:r w:rsidR="00F80745">
              <w:rPr>
                <w:rFonts w:cs="Arial"/>
              </w:rPr>
              <w:t>Clinical Academic Programme</w:t>
            </w:r>
            <w:r w:rsidRPr="00A66239">
              <w:rPr>
                <w:rFonts w:cs="Arial"/>
              </w:rPr>
              <w:t xml:space="preserve"> funding.  </w:t>
            </w:r>
          </w:p>
          <w:p w14:paraId="3AF5A89A" w14:textId="77777777" w:rsidR="00A66239" w:rsidRPr="00A66239" w:rsidRDefault="00A66239" w:rsidP="00A66239">
            <w:pPr>
              <w:numPr>
                <w:ilvl w:val="0"/>
                <w:numId w:val="5"/>
              </w:numPr>
              <w:spacing w:after="0"/>
              <w:rPr>
                <w:rFonts w:cs="Arial"/>
              </w:rPr>
            </w:pPr>
            <w:r w:rsidRPr="00A66239">
              <w:rPr>
                <w:rFonts w:cs="Arial"/>
              </w:rPr>
              <w:t xml:space="preserve">Strategic Clinical Network and Clinical Senate – Chief Executives, Medical Directors, </w:t>
            </w:r>
            <w:proofErr w:type="gramStart"/>
            <w:r w:rsidRPr="00A66239">
              <w:rPr>
                <w:rFonts w:cs="Arial"/>
              </w:rPr>
              <w:t>Leads</w:t>
            </w:r>
            <w:proofErr w:type="gramEnd"/>
            <w:r w:rsidRPr="00A66239">
              <w:rPr>
                <w:rFonts w:cs="Arial"/>
              </w:rPr>
              <w:t xml:space="preserve"> of referring hospitals.</w:t>
            </w:r>
          </w:p>
        </w:tc>
      </w:tr>
    </w:tbl>
    <w:p w14:paraId="4DE9FF32" w14:textId="77777777" w:rsidR="00A66239" w:rsidRPr="00A66239" w:rsidRDefault="00A66239" w:rsidP="00A66239">
      <w:pPr>
        <w:rPr>
          <w:rFonts w:cs="Arial"/>
        </w:rPr>
      </w:pPr>
    </w:p>
    <w:tbl>
      <w:tblPr>
        <w:tblW w:w="10485" w:type="dxa"/>
        <w:jc w:val="center"/>
        <w:tblLayout w:type="fixed"/>
        <w:tblLook w:val="0000" w:firstRow="0" w:lastRow="0" w:firstColumn="0" w:lastColumn="0" w:noHBand="0" w:noVBand="0"/>
      </w:tblPr>
      <w:tblGrid>
        <w:gridCol w:w="10485"/>
      </w:tblGrid>
      <w:tr w:rsidR="00A66239" w:rsidRPr="00A66239" w14:paraId="2F236181" w14:textId="77777777" w:rsidTr="00422A93">
        <w:trPr>
          <w:jc w:val="center"/>
        </w:trPr>
        <w:tc>
          <w:tcPr>
            <w:tcW w:w="10485" w:type="dxa"/>
            <w:tcBorders>
              <w:top w:val="single" w:sz="4" w:space="0" w:color="000000"/>
              <w:left w:val="single" w:sz="4" w:space="0" w:color="000000"/>
              <w:bottom w:val="single" w:sz="4" w:space="0" w:color="000000"/>
              <w:right w:val="single" w:sz="4" w:space="0" w:color="000000"/>
            </w:tcBorders>
            <w:vAlign w:val="center"/>
          </w:tcPr>
          <w:p w14:paraId="24F01322" w14:textId="77777777" w:rsidR="00A66239" w:rsidRPr="00A66239" w:rsidRDefault="00A66239" w:rsidP="00422A93">
            <w:pPr>
              <w:pStyle w:val="Instruction"/>
              <w:spacing w:before="0"/>
              <w:rPr>
                <w:rFonts w:asciiTheme="minorHAnsi" w:hAnsiTheme="minorHAnsi" w:cs="Arial"/>
                <w:b/>
                <w:i w:val="0"/>
                <w:sz w:val="22"/>
                <w:szCs w:val="22"/>
              </w:rPr>
            </w:pPr>
            <w:r w:rsidRPr="00A66239">
              <w:rPr>
                <w:rFonts w:asciiTheme="minorHAnsi" w:hAnsiTheme="minorHAnsi" w:cs="Arial"/>
                <w:b/>
                <w:i w:val="0"/>
                <w:sz w:val="22"/>
                <w:szCs w:val="22"/>
              </w:rPr>
              <w:t>Special Requirements:</w:t>
            </w:r>
          </w:p>
          <w:p w14:paraId="291ABD65" w14:textId="77777777" w:rsidR="00A66239" w:rsidRPr="00A66239" w:rsidRDefault="00A66239" w:rsidP="00422A93">
            <w:pPr>
              <w:pStyle w:val="Instruction"/>
              <w:spacing w:before="0"/>
              <w:rPr>
                <w:rFonts w:asciiTheme="minorHAnsi" w:hAnsiTheme="minorHAnsi" w:cs="Arial"/>
                <w:i w:val="0"/>
                <w:sz w:val="22"/>
                <w:szCs w:val="22"/>
              </w:rPr>
            </w:pPr>
            <w:r w:rsidRPr="00A66239">
              <w:rPr>
                <w:rFonts w:asciiTheme="minorHAnsi" w:hAnsiTheme="minorHAnsi" w:cs="Arial"/>
                <w:i w:val="0"/>
                <w:sz w:val="22"/>
                <w:szCs w:val="22"/>
              </w:rPr>
              <w:t>You may be required to work irregular hours in accordance with the needs of the role.</w:t>
            </w:r>
          </w:p>
          <w:p w14:paraId="01E08E75" w14:textId="77777777" w:rsidR="00A66239" w:rsidRPr="00A66239" w:rsidRDefault="00A66239" w:rsidP="00422A93">
            <w:pPr>
              <w:pStyle w:val="Instruction"/>
              <w:spacing w:before="0"/>
              <w:rPr>
                <w:rFonts w:asciiTheme="minorHAnsi" w:hAnsiTheme="minorHAnsi" w:cs="Arial"/>
                <w:i w:val="0"/>
                <w:sz w:val="22"/>
                <w:szCs w:val="22"/>
              </w:rPr>
            </w:pPr>
            <w:r w:rsidRPr="00A66239">
              <w:rPr>
                <w:rFonts w:asciiTheme="minorHAnsi" w:hAnsiTheme="minorHAnsi" w:cs="Arial"/>
                <w:i w:val="0"/>
                <w:sz w:val="22"/>
                <w:szCs w:val="22"/>
              </w:rPr>
              <w:lastRenderedPageBreak/>
              <w:t>Information of a confidential nature must be kept strictly confidential and should never be disclosed either inside or outside work.  It should be noted that breach of confidentiality is a serious offence which may lead to dismissal.</w:t>
            </w:r>
          </w:p>
          <w:p w14:paraId="1E100F1E" w14:textId="77777777" w:rsidR="00761D63" w:rsidRDefault="00761D63" w:rsidP="00422A93">
            <w:pPr>
              <w:pStyle w:val="Instruction"/>
              <w:spacing w:before="0"/>
              <w:rPr>
                <w:rFonts w:asciiTheme="minorHAnsi" w:hAnsiTheme="minorHAnsi" w:cs="Arial"/>
                <w:b/>
                <w:i w:val="0"/>
                <w:sz w:val="22"/>
                <w:szCs w:val="22"/>
              </w:rPr>
            </w:pPr>
          </w:p>
          <w:p w14:paraId="1EC5CBEA" w14:textId="0C1F0BB0" w:rsidR="00A66239" w:rsidRPr="00A66239" w:rsidRDefault="00A66239" w:rsidP="00422A93">
            <w:pPr>
              <w:pStyle w:val="Instruction"/>
              <w:spacing w:before="0"/>
              <w:rPr>
                <w:rFonts w:asciiTheme="minorHAnsi" w:hAnsiTheme="minorHAnsi" w:cs="Arial"/>
                <w:b/>
                <w:i w:val="0"/>
                <w:sz w:val="22"/>
                <w:szCs w:val="22"/>
              </w:rPr>
            </w:pPr>
            <w:r w:rsidRPr="00A66239">
              <w:rPr>
                <w:rFonts w:asciiTheme="minorHAnsi" w:hAnsiTheme="minorHAnsi" w:cs="Arial"/>
                <w:b/>
                <w:i w:val="0"/>
                <w:sz w:val="22"/>
                <w:szCs w:val="22"/>
              </w:rPr>
              <w:t xml:space="preserve">General: </w:t>
            </w:r>
          </w:p>
          <w:p w14:paraId="252C8656" w14:textId="77777777" w:rsidR="00A66239" w:rsidRPr="00A66239" w:rsidRDefault="00A66239" w:rsidP="00422A93">
            <w:pPr>
              <w:pStyle w:val="Instruction"/>
              <w:spacing w:before="0"/>
              <w:rPr>
                <w:rFonts w:asciiTheme="minorHAnsi" w:hAnsiTheme="minorHAnsi" w:cs="Arial"/>
                <w:i w:val="0"/>
                <w:sz w:val="22"/>
                <w:szCs w:val="22"/>
              </w:rPr>
            </w:pPr>
            <w:r w:rsidRPr="00A66239">
              <w:rPr>
                <w:rFonts w:asciiTheme="minorHAnsi" w:hAnsiTheme="minorHAnsi" w:cs="Arial"/>
                <w:i w:val="0"/>
                <w:sz w:val="22"/>
                <w:szCs w:val="22"/>
              </w:rPr>
              <w:t>All staff are expected to adhere to relevant policies and procedures within KHP and partner organisations.</w:t>
            </w:r>
          </w:p>
          <w:p w14:paraId="290710EA" w14:textId="77777777" w:rsidR="00761D63" w:rsidRDefault="00761D63" w:rsidP="00422A93">
            <w:pPr>
              <w:pStyle w:val="Instruction"/>
              <w:spacing w:before="0"/>
              <w:rPr>
                <w:rFonts w:asciiTheme="minorHAnsi" w:hAnsiTheme="minorHAnsi" w:cs="Arial"/>
                <w:b/>
                <w:i w:val="0"/>
                <w:sz w:val="22"/>
                <w:szCs w:val="22"/>
              </w:rPr>
            </w:pPr>
          </w:p>
          <w:p w14:paraId="382A4FCF" w14:textId="6920C3DE" w:rsidR="00A66239" w:rsidRPr="00A66239" w:rsidRDefault="00A66239" w:rsidP="00422A93">
            <w:pPr>
              <w:pStyle w:val="Instruction"/>
              <w:spacing w:before="0"/>
              <w:rPr>
                <w:rFonts w:asciiTheme="minorHAnsi" w:hAnsiTheme="minorHAnsi" w:cs="Arial"/>
                <w:b/>
                <w:i w:val="0"/>
                <w:sz w:val="22"/>
                <w:szCs w:val="22"/>
              </w:rPr>
            </w:pPr>
            <w:r w:rsidRPr="00A66239">
              <w:rPr>
                <w:rFonts w:asciiTheme="minorHAnsi" w:hAnsiTheme="minorHAnsi" w:cs="Arial"/>
                <w:b/>
                <w:i w:val="0"/>
                <w:sz w:val="22"/>
                <w:szCs w:val="22"/>
              </w:rPr>
              <w:t>Disclosure:</w:t>
            </w:r>
          </w:p>
          <w:p w14:paraId="4A448560" w14:textId="77777777" w:rsidR="00A66239" w:rsidRPr="00A66239" w:rsidRDefault="00A66239" w:rsidP="00422A93">
            <w:pPr>
              <w:pStyle w:val="Instruction"/>
              <w:spacing w:before="0"/>
              <w:rPr>
                <w:rFonts w:asciiTheme="minorHAnsi" w:hAnsiTheme="minorHAnsi" w:cs="Arial"/>
                <w:i w:val="0"/>
                <w:sz w:val="22"/>
                <w:szCs w:val="22"/>
              </w:rPr>
            </w:pPr>
            <w:r w:rsidRPr="00A66239">
              <w:rPr>
                <w:rFonts w:asciiTheme="minorHAnsi" w:hAnsiTheme="minorHAnsi" w:cs="Arial"/>
                <w:i w:val="0"/>
                <w:sz w:val="22"/>
                <w:szCs w:val="22"/>
              </w:rPr>
              <w:t xml:space="preserve">This vacancy has been defined as a ‘position of trust’ and is therefore exempt from the Rehabilitation of Offenders Act (1974).  As such, shortlisted candidates will be required to declare full details of any criminal background, regardless of how old a conviction may be, and the successful candidate will be required to apply for a standard (or enhanced) Disclosure (a criminal records check) from the Criminal Records Bureau.  A criminal record will only be </w:t>
            </w:r>
            <w:proofErr w:type="gramStart"/>
            <w:r w:rsidRPr="00A66239">
              <w:rPr>
                <w:rFonts w:asciiTheme="minorHAnsi" w:hAnsiTheme="minorHAnsi" w:cs="Arial"/>
                <w:i w:val="0"/>
                <w:sz w:val="22"/>
                <w:szCs w:val="22"/>
              </w:rPr>
              <w:t>taken into account</w:t>
            </w:r>
            <w:proofErr w:type="gramEnd"/>
            <w:r w:rsidRPr="00A66239">
              <w:rPr>
                <w:rFonts w:asciiTheme="minorHAnsi" w:hAnsiTheme="minorHAnsi" w:cs="Arial"/>
                <w:i w:val="0"/>
                <w:sz w:val="22"/>
                <w:szCs w:val="22"/>
              </w:rPr>
              <w:t xml:space="preserve"> for recruitment purposes, where the conviction is relevant to the position being applied for, and where this is the case, will not necessarily bar candidates from employment.  Any decision will depend on the precise nature of the work and the circumstances and background to the offence(s).  Further information about the Disclosure scheme can be found at </w:t>
            </w:r>
            <w:hyperlink r:id="rId13" w:history="1">
              <w:r w:rsidRPr="00A66239">
                <w:rPr>
                  <w:rFonts w:asciiTheme="minorHAnsi" w:hAnsiTheme="minorHAnsi"/>
                  <w:i w:val="0"/>
                  <w:sz w:val="22"/>
                  <w:szCs w:val="22"/>
                </w:rPr>
                <w:t>www.crb.gov.uk</w:t>
              </w:r>
            </w:hyperlink>
            <w:r w:rsidRPr="00A66239">
              <w:rPr>
                <w:rFonts w:asciiTheme="minorHAnsi" w:hAnsiTheme="minorHAnsi" w:cs="Arial"/>
                <w:i w:val="0"/>
                <w:sz w:val="22"/>
                <w:szCs w:val="22"/>
              </w:rPr>
              <w:t xml:space="preserve"> Copies of the CRB’s Code of Practice and the College’s Recruitment Policy for posts requiring Disclosure are available on request. Date:</w:t>
            </w:r>
            <w:r w:rsidRPr="00A66239">
              <w:rPr>
                <w:rFonts w:asciiTheme="minorHAnsi" w:hAnsiTheme="minorHAnsi" w:cs="Arial"/>
                <w:i w:val="0"/>
                <w:sz w:val="22"/>
                <w:szCs w:val="22"/>
              </w:rPr>
              <w:tab/>
              <w:t>October 2017</w:t>
            </w:r>
          </w:p>
          <w:p w14:paraId="7176F900" w14:textId="77777777" w:rsidR="00761D63" w:rsidRDefault="00761D63" w:rsidP="00422A93">
            <w:pPr>
              <w:pStyle w:val="Instruction"/>
              <w:spacing w:before="0"/>
              <w:rPr>
                <w:rFonts w:asciiTheme="minorHAnsi" w:hAnsiTheme="minorHAnsi" w:cs="Arial"/>
                <w:b/>
                <w:i w:val="0"/>
                <w:sz w:val="22"/>
                <w:szCs w:val="22"/>
              </w:rPr>
            </w:pPr>
          </w:p>
          <w:p w14:paraId="41BD9129" w14:textId="0F209EC1" w:rsidR="00A66239" w:rsidRPr="00A66239" w:rsidRDefault="00A66239" w:rsidP="00422A93">
            <w:pPr>
              <w:pStyle w:val="Instruction"/>
              <w:spacing w:before="0"/>
              <w:rPr>
                <w:rFonts w:asciiTheme="minorHAnsi" w:hAnsiTheme="minorHAnsi" w:cs="Arial"/>
                <w:b/>
                <w:i w:val="0"/>
                <w:sz w:val="22"/>
                <w:szCs w:val="22"/>
              </w:rPr>
            </w:pPr>
            <w:r w:rsidRPr="00A66239">
              <w:rPr>
                <w:rFonts w:asciiTheme="minorHAnsi" w:hAnsiTheme="minorHAnsi" w:cs="Arial"/>
                <w:b/>
                <w:i w:val="0"/>
                <w:sz w:val="22"/>
                <w:szCs w:val="22"/>
              </w:rPr>
              <w:t>Please note:</w:t>
            </w:r>
          </w:p>
          <w:p w14:paraId="2076B135" w14:textId="77777777" w:rsidR="00A66239" w:rsidRPr="00A66239" w:rsidRDefault="00A66239" w:rsidP="00422A93">
            <w:pPr>
              <w:pStyle w:val="Instruction"/>
              <w:spacing w:before="0"/>
              <w:rPr>
                <w:rFonts w:asciiTheme="minorHAnsi" w:hAnsiTheme="minorHAnsi" w:cs="Arial"/>
                <w:i w:val="0"/>
                <w:sz w:val="22"/>
                <w:szCs w:val="22"/>
              </w:rPr>
            </w:pPr>
            <w:r w:rsidRPr="00A66239">
              <w:rPr>
                <w:rFonts w:asciiTheme="minorHAnsi" w:hAnsiTheme="minorHAnsi" w:cs="Arial"/>
                <w:i w:val="0"/>
                <w:sz w:val="22"/>
                <w:szCs w:val="22"/>
              </w:rPr>
              <w:t>This job description reflects the core activities of the role and as King’s Health Partners, the Institutes and the post-holder develop there will inevitably be changes in the emphasis of duties.  It is expected that the post-holder recognises this and adopts a flexible approach to work and be willing to participate in training.</w:t>
            </w:r>
          </w:p>
          <w:p w14:paraId="0478F388" w14:textId="77777777" w:rsidR="00A66239" w:rsidRPr="00A66239" w:rsidRDefault="00A66239" w:rsidP="00422A93">
            <w:pPr>
              <w:pStyle w:val="Instruction"/>
              <w:spacing w:before="0"/>
              <w:rPr>
                <w:rFonts w:asciiTheme="minorHAnsi" w:hAnsiTheme="minorHAnsi" w:cs="Arial"/>
                <w:b/>
                <w:sz w:val="22"/>
                <w:szCs w:val="22"/>
              </w:rPr>
            </w:pPr>
            <w:r w:rsidRPr="00A66239">
              <w:rPr>
                <w:rFonts w:asciiTheme="minorHAnsi" w:hAnsiTheme="minorHAnsi" w:cs="Arial"/>
                <w:i w:val="0"/>
                <w:sz w:val="22"/>
                <w:szCs w:val="22"/>
              </w:rPr>
              <w:t>If changes to the job become significant, the job description should be reviewed formally by the post-holder and line manager.  The HR Department of the post holder’s substantive employer should then be consulted as to the implications of the proposed changes.</w:t>
            </w:r>
          </w:p>
        </w:tc>
      </w:tr>
    </w:tbl>
    <w:p w14:paraId="23B689A4" w14:textId="77777777" w:rsidR="00A66239" w:rsidRPr="00A66239" w:rsidRDefault="00A66239" w:rsidP="00A66239"/>
    <w:tbl>
      <w:tblPr>
        <w:tblW w:w="10506" w:type="dxa"/>
        <w:jc w:val="center"/>
        <w:tblLayout w:type="fixed"/>
        <w:tblLook w:val="0000" w:firstRow="0" w:lastRow="0" w:firstColumn="0" w:lastColumn="0" w:noHBand="0" w:noVBand="0"/>
      </w:tblPr>
      <w:tblGrid>
        <w:gridCol w:w="10506"/>
      </w:tblGrid>
      <w:tr w:rsidR="00A66239" w:rsidRPr="00A66239" w14:paraId="068B9063" w14:textId="77777777" w:rsidTr="00422A93">
        <w:trPr>
          <w:jc w:val="center"/>
        </w:trPr>
        <w:tc>
          <w:tcPr>
            <w:tcW w:w="1050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CCB1905" w14:textId="77777777" w:rsidR="00A66239" w:rsidRPr="00A66239" w:rsidRDefault="00A66239" w:rsidP="00422A93">
            <w:pPr>
              <w:pStyle w:val="BodyTextIndent"/>
              <w:spacing w:before="120" w:after="200"/>
              <w:ind w:left="0"/>
              <w:rPr>
                <w:rFonts w:cs="Arial"/>
                <w:b/>
                <w:bCs/>
              </w:rPr>
            </w:pPr>
            <w:r w:rsidRPr="00A66239">
              <w:rPr>
                <w:rFonts w:cs="Arial"/>
                <w:b/>
                <w:bCs/>
                <w:color w:val="FFFFFF" w:themeColor="background1"/>
              </w:rPr>
              <w:t>PERSON SPECIFICATION</w:t>
            </w:r>
          </w:p>
        </w:tc>
      </w:tr>
    </w:tbl>
    <w:p w14:paraId="332EE8F4" w14:textId="77777777" w:rsidR="00A66239" w:rsidRPr="00A66239" w:rsidRDefault="00A66239" w:rsidP="00A66239">
      <w:pPr>
        <w:spacing w:after="0" w:line="240" w:lineRule="auto"/>
        <w:jc w:val="both"/>
        <w:rPr>
          <w:rFonts w:cs="Arial"/>
        </w:rPr>
      </w:pPr>
    </w:p>
    <w:p w14:paraId="29AB9AF4" w14:textId="6C782622" w:rsidR="00A66239" w:rsidRPr="00A66239" w:rsidRDefault="00761D63" w:rsidP="00A66239">
      <w:pPr>
        <w:spacing w:after="0" w:line="240" w:lineRule="auto"/>
        <w:jc w:val="both"/>
        <w:rPr>
          <w:rFonts w:cs="Arial"/>
          <w:b/>
        </w:rPr>
      </w:pPr>
      <w:r>
        <w:rPr>
          <w:rFonts w:cs="Arial"/>
          <w:b/>
        </w:rPr>
        <w:t>Joint Programme Director, KHP Diabetes, Endocrinology and Obesity Clinical Academic Partnership</w:t>
      </w:r>
    </w:p>
    <w:p w14:paraId="376452F7" w14:textId="77777777" w:rsidR="00A66239" w:rsidRPr="00A66239" w:rsidRDefault="00A66239" w:rsidP="00A66239">
      <w:pPr>
        <w:spacing w:after="0" w:line="240" w:lineRule="auto"/>
        <w:jc w:val="both"/>
        <w:rPr>
          <w:rFonts w:cs="Arial"/>
        </w:rPr>
      </w:pPr>
    </w:p>
    <w:tbl>
      <w:tblPr>
        <w:tblW w:w="10632" w:type="dxa"/>
        <w:tblInd w:w="-714" w:type="dxa"/>
        <w:tblLayout w:type="fixed"/>
        <w:tblLook w:val="0000" w:firstRow="0" w:lastRow="0" w:firstColumn="0" w:lastColumn="0" w:noHBand="0" w:noVBand="0"/>
      </w:tblPr>
      <w:tblGrid>
        <w:gridCol w:w="7692"/>
        <w:gridCol w:w="475"/>
        <w:gridCol w:w="475"/>
        <w:gridCol w:w="1990"/>
      </w:tblGrid>
      <w:tr w:rsidR="00A66239" w:rsidRPr="00A66239" w14:paraId="3C24D282" w14:textId="77777777" w:rsidTr="00422A93">
        <w:tc>
          <w:tcPr>
            <w:tcW w:w="7692" w:type="dxa"/>
            <w:tcBorders>
              <w:top w:val="single" w:sz="4" w:space="0" w:color="000000"/>
              <w:left w:val="single" w:sz="4" w:space="0" w:color="000000"/>
              <w:bottom w:val="single" w:sz="4" w:space="0" w:color="000000"/>
            </w:tcBorders>
          </w:tcPr>
          <w:p w14:paraId="1ECF9CC8"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b/>
              </w:rPr>
              <w:t>CRITERIA</w:t>
            </w:r>
          </w:p>
          <w:p w14:paraId="1DBE7056" w14:textId="77777777" w:rsidR="00A66239" w:rsidRPr="00A66239" w:rsidRDefault="00A66239" w:rsidP="00422A93">
            <w:pPr>
              <w:pStyle w:val="BodyText2"/>
              <w:shd w:val="solid" w:color="FFFFFF" w:fill="000000"/>
              <w:spacing w:before="60" w:after="0" w:line="240" w:lineRule="auto"/>
              <w:rPr>
                <w:rFonts w:cs="Arial"/>
                <w:b/>
              </w:rPr>
            </w:pPr>
          </w:p>
        </w:tc>
        <w:tc>
          <w:tcPr>
            <w:tcW w:w="475" w:type="dxa"/>
            <w:tcBorders>
              <w:top w:val="single" w:sz="4" w:space="0" w:color="000000"/>
              <w:left w:val="single" w:sz="4" w:space="0" w:color="000000"/>
              <w:bottom w:val="single" w:sz="4" w:space="0" w:color="000000"/>
            </w:tcBorders>
          </w:tcPr>
          <w:p w14:paraId="2DE85841" w14:textId="77777777" w:rsidR="00A66239" w:rsidRPr="00761D63" w:rsidRDefault="00A66239" w:rsidP="00422A93">
            <w:pPr>
              <w:pStyle w:val="BodyText2"/>
              <w:shd w:val="solid" w:color="FFFFFF" w:fill="000000"/>
              <w:snapToGrid w:val="0"/>
              <w:spacing w:before="60" w:after="0" w:line="240" w:lineRule="auto"/>
              <w:jc w:val="center"/>
              <w:rPr>
                <w:rFonts w:cs="Arial"/>
                <w:b/>
                <w:sz w:val="16"/>
                <w:szCs w:val="16"/>
              </w:rPr>
            </w:pPr>
            <w:r w:rsidRPr="00761D63">
              <w:rPr>
                <w:rFonts w:cs="Arial"/>
                <w:b/>
                <w:sz w:val="16"/>
                <w:szCs w:val="16"/>
              </w:rPr>
              <w:t>E</w:t>
            </w:r>
            <w:r w:rsidRPr="00761D63">
              <w:rPr>
                <w:rFonts w:cs="Arial"/>
                <w:b/>
                <w:sz w:val="16"/>
                <w:szCs w:val="16"/>
              </w:rPr>
              <w:br/>
              <w:t>S</w:t>
            </w:r>
            <w:r w:rsidRPr="00761D63">
              <w:rPr>
                <w:rFonts w:cs="Arial"/>
                <w:b/>
                <w:sz w:val="16"/>
                <w:szCs w:val="16"/>
              </w:rPr>
              <w:br/>
            </w:r>
            <w:proofErr w:type="spellStart"/>
            <w:r w:rsidRPr="00761D63">
              <w:rPr>
                <w:rFonts w:cs="Arial"/>
                <w:b/>
                <w:sz w:val="16"/>
                <w:szCs w:val="16"/>
              </w:rPr>
              <w:t>S</w:t>
            </w:r>
            <w:proofErr w:type="spellEnd"/>
            <w:r w:rsidRPr="00761D63">
              <w:rPr>
                <w:rFonts w:cs="Arial"/>
                <w:b/>
                <w:sz w:val="16"/>
                <w:szCs w:val="16"/>
              </w:rPr>
              <w:br/>
              <w:t>E</w:t>
            </w:r>
            <w:r w:rsidRPr="00761D63">
              <w:rPr>
                <w:rFonts w:cs="Arial"/>
                <w:b/>
                <w:sz w:val="16"/>
                <w:szCs w:val="16"/>
              </w:rPr>
              <w:br/>
              <w:t>N</w:t>
            </w:r>
            <w:r w:rsidRPr="00761D63">
              <w:rPr>
                <w:rFonts w:cs="Arial"/>
                <w:b/>
                <w:sz w:val="16"/>
                <w:szCs w:val="16"/>
              </w:rPr>
              <w:br/>
              <w:t>T</w:t>
            </w:r>
            <w:r w:rsidRPr="00761D63">
              <w:rPr>
                <w:rFonts w:cs="Arial"/>
                <w:b/>
                <w:sz w:val="16"/>
                <w:szCs w:val="16"/>
              </w:rPr>
              <w:br/>
              <w:t>I</w:t>
            </w:r>
            <w:r w:rsidRPr="00761D63">
              <w:rPr>
                <w:rFonts w:cs="Arial"/>
                <w:b/>
                <w:sz w:val="16"/>
                <w:szCs w:val="16"/>
              </w:rPr>
              <w:br/>
              <w:t>A</w:t>
            </w:r>
            <w:r w:rsidRPr="00761D63">
              <w:rPr>
                <w:rFonts w:cs="Arial"/>
                <w:b/>
                <w:sz w:val="16"/>
                <w:szCs w:val="16"/>
              </w:rPr>
              <w:br/>
              <w:t>L</w:t>
            </w:r>
          </w:p>
        </w:tc>
        <w:tc>
          <w:tcPr>
            <w:tcW w:w="475" w:type="dxa"/>
            <w:tcBorders>
              <w:top w:val="single" w:sz="4" w:space="0" w:color="000000"/>
              <w:left w:val="single" w:sz="4" w:space="0" w:color="000000"/>
              <w:bottom w:val="single" w:sz="4" w:space="0" w:color="000000"/>
            </w:tcBorders>
          </w:tcPr>
          <w:p w14:paraId="458E7441" w14:textId="77777777" w:rsidR="00A66239" w:rsidRPr="00761D63" w:rsidRDefault="00A66239" w:rsidP="00422A93">
            <w:pPr>
              <w:pStyle w:val="BodyText2"/>
              <w:shd w:val="solid" w:color="FFFFFF" w:fill="000000"/>
              <w:snapToGrid w:val="0"/>
              <w:spacing w:before="60" w:after="0" w:line="240" w:lineRule="auto"/>
              <w:jc w:val="center"/>
              <w:rPr>
                <w:rFonts w:cs="Arial"/>
                <w:b/>
                <w:sz w:val="16"/>
                <w:szCs w:val="16"/>
              </w:rPr>
            </w:pPr>
            <w:r w:rsidRPr="00761D63">
              <w:rPr>
                <w:rFonts w:cs="Arial"/>
                <w:b/>
                <w:sz w:val="16"/>
                <w:szCs w:val="16"/>
              </w:rPr>
              <w:t>D</w:t>
            </w:r>
            <w:r w:rsidRPr="00761D63">
              <w:rPr>
                <w:rFonts w:cs="Arial"/>
                <w:b/>
                <w:sz w:val="16"/>
                <w:szCs w:val="16"/>
              </w:rPr>
              <w:br/>
              <w:t>E</w:t>
            </w:r>
            <w:r w:rsidRPr="00761D63">
              <w:rPr>
                <w:rFonts w:cs="Arial"/>
                <w:b/>
                <w:sz w:val="16"/>
                <w:szCs w:val="16"/>
              </w:rPr>
              <w:br/>
              <w:t>S</w:t>
            </w:r>
            <w:r w:rsidRPr="00761D63">
              <w:rPr>
                <w:rFonts w:cs="Arial"/>
                <w:b/>
                <w:sz w:val="16"/>
                <w:szCs w:val="16"/>
              </w:rPr>
              <w:br/>
              <w:t>I</w:t>
            </w:r>
            <w:r w:rsidRPr="00761D63">
              <w:rPr>
                <w:rFonts w:cs="Arial"/>
                <w:b/>
                <w:sz w:val="16"/>
                <w:szCs w:val="16"/>
              </w:rPr>
              <w:br/>
              <w:t>R</w:t>
            </w:r>
            <w:r w:rsidRPr="00761D63">
              <w:rPr>
                <w:rFonts w:cs="Arial"/>
                <w:b/>
                <w:sz w:val="16"/>
                <w:szCs w:val="16"/>
              </w:rPr>
              <w:br/>
              <w:t>A</w:t>
            </w:r>
            <w:r w:rsidRPr="00761D63">
              <w:rPr>
                <w:rFonts w:cs="Arial"/>
                <w:b/>
                <w:sz w:val="16"/>
                <w:szCs w:val="16"/>
              </w:rPr>
              <w:br/>
              <w:t>B</w:t>
            </w:r>
            <w:r w:rsidRPr="00761D63">
              <w:rPr>
                <w:rFonts w:cs="Arial"/>
                <w:b/>
                <w:sz w:val="16"/>
                <w:szCs w:val="16"/>
              </w:rPr>
              <w:br/>
              <w:t>L</w:t>
            </w:r>
            <w:r w:rsidRPr="00761D63">
              <w:rPr>
                <w:rFonts w:cs="Arial"/>
                <w:b/>
                <w:sz w:val="16"/>
                <w:szCs w:val="16"/>
              </w:rPr>
              <w:br/>
              <w:t>E</w:t>
            </w:r>
          </w:p>
        </w:tc>
        <w:tc>
          <w:tcPr>
            <w:tcW w:w="1990" w:type="dxa"/>
            <w:tcBorders>
              <w:top w:val="single" w:sz="4" w:space="0" w:color="000000"/>
              <w:left w:val="single" w:sz="4" w:space="0" w:color="000000"/>
              <w:bottom w:val="single" w:sz="4" w:space="0" w:color="000000"/>
              <w:right w:val="single" w:sz="4" w:space="0" w:color="000000"/>
            </w:tcBorders>
          </w:tcPr>
          <w:p w14:paraId="050EB5C3"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b/>
              </w:rPr>
              <w:t>HOW IDENTIFIED</w:t>
            </w:r>
            <w:r w:rsidRPr="00A66239">
              <w:rPr>
                <w:rFonts w:cs="Arial"/>
                <w:b/>
              </w:rPr>
              <w:br/>
              <w:t>AND ASSESSED</w:t>
            </w:r>
          </w:p>
          <w:p w14:paraId="205FACA5" w14:textId="77777777" w:rsidR="00A66239" w:rsidRPr="00A66239" w:rsidRDefault="00A66239" w:rsidP="00422A93">
            <w:pPr>
              <w:pStyle w:val="BodyText2"/>
              <w:shd w:val="solid" w:color="FFFFFF" w:fill="000000"/>
              <w:spacing w:before="60" w:after="0" w:line="240" w:lineRule="auto"/>
              <w:rPr>
                <w:rFonts w:cs="Arial"/>
              </w:rPr>
            </w:pPr>
            <w:r w:rsidRPr="00A66239">
              <w:rPr>
                <w:rFonts w:cs="Arial"/>
              </w:rPr>
              <w:t>AP = application</w:t>
            </w:r>
          </w:p>
          <w:p w14:paraId="116EEF44" w14:textId="77777777" w:rsidR="00A66239" w:rsidRPr="00A66239" w:rsidRDefault="00A66239" w:rsidP="00422A93">
            <w:pPr>
              <w:pStyle w:val="BodyText2"/>
              <w:shd w:val="solid" w:color="FFFFFF" w:fill="000000"/>
              <w:spacing w:before="60" w:after="0" w:line="240" w:lineRule="auto"/>
              <w:rPr>
                <w:rFonts w:cs="Arial"/>
              </w:rPr>
            </w:pPr>
            <w:r w:rsidRPr="00A66239">
              <w:rPr>
                <w:rFonts w:cs="Arial"/>
              </w:rPr>
              <w:t>I = interview</w:t>
            </w:r>
          </w:p>
          <w:p w14:paraId="67DDB574" w14:textId="77777777" w:rsidR="00A66239" w:rsidRPr="00A66239" w:rsidRDefault="00A66239" w:rsidP="00422A93">
            <w:pPr>
              <w:pStyle w:val="BodyText2"/>
              <w:shd w:val="solid" w:color="FFFFFF" w:fill="000000"/>
              <w:spacing w:before="60" w:after="0" w:line="240" w:lineRule="auto"/>
              <w:rPr>
                <w:rFonts w:cs="Arial"/>
              </w:rPr>
            </w:pPr>
            <w:r w:rsidRPr="00A66239">
              <w:rPr>
                <w:rFonts w:cs="Arial"/>
              </w:rPr>
              <w:t>P = presentation</w:t>
            </w:r>
          </w:p>
          <w:p w14:paraId="3F87145C" w14:textId="77777777" w:rsidR="00A66239" w:rsidRPr="00A66239" w:rsidRDefault="00A66239" w:rsidP="00422A93">
            <w:pPr>
              <w:pStyle w:val="BodyText2"/>
              <w:shd w:val="solid" w:color="FFFFFF" w:fill="000000"/>
              <w:spacing w:before="60" w:after="0" w:line="240" w:lineRule="auto"/>
              <w:rPr>
                <w:rFonts w:cs="Arial"/>
              </w:rPr>
            </w:pPr>
            <w:r w:rsidRPr="00A66239">
              <w:rPr>
                <w:rFonts w:cs="Arial"/>
              </w:rPr>
              <w:t>R = references</w:t>
            </w:r>
          </w:p>
        </w:tc>
      </w:tr>
      <w:tr w:rsidR="00A66239" w:rsidRPr="00A66239" w14:paraId="013EDCF4" w14:textId="77777777" w:rsidTr="00422A93">
        <w:trPr>
          <w:trHeight w:val="23"/>
        </w:trPr>
        <w:tc>
          <w:tcPr>
            <w:tcW w:w="7692" w:type="dxa"/>
            <w:tcBorders>
              <w:top w:val="single" w:sz="4" w:space="0" w:color="000000"/>
              <w:left w:val="single" w:sz="4" w:space="0" w:color="000000"/>
              <w:bottom w:val="single" w:sz="4" w:space="0" w:color="000000"/>
            </w:tcBorders>
          </w:tcPr>
          <w:p w14:paraId="6BAC8AD5"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b/>
              </w:rPr>
              <w:t>Education/qualification and training</w:t>
            </w:r>
          </w:p>
        </w:tc>
        <w:tc>
          <w:tcPr>
            <w:tcW w:w="475" w:type="dxa"/>
            <w:tcBorders>
              <w:top w:val="single" w:sz="4" w:space="0" w:color="000000"/>
              <w:bottom w:val="single" w:sz="4" w:space="0" w:color="000000"/>
            </w:tcBorders>
          </w:tcPr>
          <w:p w14:paraId="555703C4" w14:textId="77777777" w:rsidR="00A66239" w:rsidRPr="00A66239" w:rsidRDefault="00A66239" w:rsidP="00422A93">
            <w:pPr>
              <w:pStyle w:val="BodyText2"/>
              <w:shd w:val="solid" w:color="FFFFFF" w:fill="000000"/>
              <w:snapToGrid w:val="0"/>
              <w:spacing w:before="60" w:after="0" w:line="240" w:lineRule="auto"/>
              <w:rPr>
                <w:rFonts w:cs="Arial"/>
                <w:b/>
              </w:rPr>
            </w:pPr>
          </w:p>
        </w:tc>
        <w:tc>
          <w:tcPr>
            <w:tcW w:w="475" w:type="dxa"/>
            <w:tcBorders>
              <w:top w:val="single" w:sz="4" w:space="0" w:color="000000"/>
              <w:bottom w:val="single" w:sz="4" w:space="0" w:color="000000"/>
            </w:tcBorders>
          </w:tcPr>
          <w:p w14:paraId="06384FBF" w14:textId="77777777" w:rsidR="00A66239" w:rsidRPr="00A66239" w:rsidRDefault="00A66239" w:rsidP="00422A93">
            <w:pPr>
              <w:pStyle w:val="BodyText2"/>
              <w:shd w:val="solid" w:color="FFFFFF" w:fill="000000"/>
              <w:snapToGrid w:val="0"/>
              <w:spacing w:before="60" w:after="0" w:line="240" w:lineRule="auto"/>
              <w:rPr>
                <w:rFonts w:cs="Arial"/>
                <w:b/>
              </w:rPr>
            </w:pPr>
          </w:p>
        </w:tc>
        <w:tc>
          <w:tcPr>
            <w:tcW w:w="1990" w:type="dxa"/>
            <w:tcBorders>
              <w:top w:val="single" w:sz="4" w:space="0" w:color="000000"/>
              <w:bottom w:val="single" w:sz="4" w:space="0" w:color="000000"/>
              <w:right w:val="single" w:sz="4" w:space="0" w:color="000000"/>
            </w:tcBorders>
          </w:tcPr>
          <w:p w14:paraId="39580830" w14:textId="77777777" w:rsidR="00A66239" w:rsidRPr="00A66239" w:rsidRDefault="00A66239" w:rsidP="00422A93">
            <w:pPr>
              <w:pStyle w:val="BodyText2"/>
              <w:shd w:val="solid" w:color="FFFFFF" w:fill="000000"/>
              <w:snapToGrid w:val="0"/>
              <w:spacing w:before="60" w:after="0" w:line="240" w:lineRule="auto"/>
              <w:rPr>
                <w:rFonts w:cs="Arial"/>
              </w:rPr>
            </w:pPr>
          </w:p>
        </w:tc>
      </w:tr>
      <w:tr w:rsidR="00A66239" w:rsidRPr="00A66239" w14:paraId="4198B8E3" w14:textId="77777777" w:rsidTr="00422A93">
        <w:trPr>
          <w:trHeight w:val="23"/>
        </w:trPr>
        <w:tc>
          <w:tcPr>
            <w:tcW w:w="7692" w:type="dxa"/>
            <w:tcBorders>
              <w:top w:val="single" w:sz="4" w:space="0" w:color="000000"/>
              <w:left w:val="single" w:sz="4" w:space="0" w:color="000000"/>
              <w:bottom w:val="single" w:sz="4" w:space="0" w:color="000000"/>
            </w:tcBorders>
          </w:tcPr>
          <w:p w14:paraId="63AF2301"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 xml:space="preserve">Degree level qualification or equivalent in health-related subject </w:t>
            </w:r>
          </w:p>
        </w:tc>
        <w:tc>
          <w:tcPr>
            <w:tcW w:w="475" w:type="dxa"/>
            <w:tcBorders>
              <w:top w:val="single" w:sz="4" w:space="0" w:color="000000"/>
              <w:left w:val="single" w:sz="4" w:space="0" w:color="000000"/>
              <w:bottom w:val="single" w:sz="4" w:space="0" w:color="000000"/>
            </w:tcBorders>
          </w:tcPr>
          <w:p w14:paraId="50DEB734"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0B272308"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777794E9"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w:t>
            </w:r>
          </w:p>
        </w:tc>
      </w:tr>
      <w:tr w:rsidR="00A66239" w:rsidRPr="00A66239" w14:paraId="14C5EC9B" w14:textId="77777777" w:rsidTr="00422A93">
        <w:trPr>
          <w:trHeight w:val="23"/>
        </w:trPr>
        <w:tc>
          <w:tcPr>
            <w:tcW w:w="7692" w:type="dxa"/>
            <w:tcBorders>
              <w:top w:val="single" w:sz="4" w:space="0" w:color="000000"/>
              <w:left w:val="single" w:sz="4" w:space="0" w:color="000000"/>
              <w:bottom w:val="single" w:sz="4" w:space="0" w:color="000000"/>
            </w:tcBorders>
          </w:tcPr>
          <w:p w14:paraId="1AF9BB40"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PhD or equivalent or alternate qualification (</w:t>
            </w:r>
            <w:proofErr w:type="gramStart"/>
            <w:r w:rsidRPr="00A66239">
              <w:rPr>
                <w:rFonts w:cs="Arial"/>
              </w:rPr>
              <w:t>e.g.</w:t>
            </w:r>
            <w:proofErr w:type="gramEnd"/>
            <w:r w:rsidRPr="00A66239">
              <w:rPr>
                <w:rFonts w:cs="Arial"/>
              </w:rPr>
              <w:t xml:space="preserve"> MD(Res))</w:t>
            </w:r>
          </w:p>
        </w:tc>
        <w:tc>
          <w:tcPr>
            <w:tcW w:w="475" w:type="dxa"/>
            <w:tcBorders>
              <w:top w:val="single" w:sz="4" w:space="0" w:color="000000"/>
              <w:left w:val="single" w:sz="4" w:space="0" w:color="000000"/>
              <w:bottom w:val="single" w:sz="4" w:space="0" w:color="000000"/>
            </w:tcBorders>
          </w:tcPr>
          <w:p w14:paraId="79915778"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57D592E6"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37716895"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w:t>
            </w:r>
          </w:p>
        </w:tc>
      </w:tr>
      <w:tr w:rsidR="00A66239" w:rsidRPr="00A66239" w14:paraId="45E4204B" w14:textId="77777777" w:rsidTr="00422A93">
        <w:trPr>
          <w:trHeight w:val="23"/>
        </w:trPr>
        <w:tc>
          <w:tcPr>
            <w:tcW w:w="7692" w:type="dxa"/>
            <w:tcBorders>
              <w:top w:val="single" w:sz="4" w:space="0" w:color="000000"/>
              <w:left w:val="single" w:sz="4" w:space="0" w:color="000000"/>
              <w:bottom w:val="single" w:sz="4" w:space="0" w:color="000000"/>
            </w:tcBorders>
          </w:tcPr>
          <w:p w14:paraId="0812ACEF"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Full Professional Registration</w:t>
            </w:r>
            <w:r w:rsidRPr="00A66239">
              <w:rPr>
                <w:rStyle w:val="FootnoteReference"/>
                <w:rFonts w:cs="Arial"/>
              </w:rPr>
              <w:footnoteReference w:id="1"/>
            </w:r>
            <w:r w:rsidRPr="00A66239">
              <w:rPr>
                <w:rFonts w:cs="Arial"/>
              </w:rPr>
              <w:t xml:space="preserve"> </w:t>
            </w:r>
          </w:p>
        </w:tc>
        <w:tc>
          <w:tcPr>
            <w:tcW w:w="475" w:type="dxa"/>
            <w:tcBorders>
              <w:top w:val="single" w:sz="4" w:space="0" w:color="000000"/>
              <w:left w:val="single" w:sz="4" w:space="0" w:color="000000"/>
              <w:bottom w:val="single" w:sz="4" w:space="0" w:color="000000"/>
            </w:tcBorders>
          </w:tcPr>
          <w:p w14:paraId="4F811042"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2559A01A"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7A5FBD0A"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w:t>
            </w:r>
          </w:p>
        </w:tc>
      </w:tr>
      <w:tr w:rsidR="00A66239" w:rsidRPr="00A66239" w14:paraId="001DF729" w14:textId="77777777" w:rsidTr="00422A93">
        <w:trPr>
          <w:trHeight w:val="23"/>
        </w:trPr>
        <w:tc>
          <w:tcPr>
            <w:tcW w:w="7692" w:type="dxa"/>
            <w:tcBorders>
              <w:top w:val="single" w:sz="4" w:space="0" w:color="000000"/>
              <w:left w:val="single" w:sz="4" w:space="0" w:color="000000"/>
              <w:bottom w:val="single" w:sz="4" w:space="0" w:color="000000"/>
            </w:tcBorders>
          </w:tcPr>
          <w:p w14:paraId="5BB7BA3B"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b/>
              </w:rPr>
              <w:t>Knowledge/skills</w:t>
            </w:r>
          </w:p>
        </w:tc>
        <w:tc>
          <w:tcPr>
            <w:tcW w:w="475" w:type="dxa"/>
            <w:tcBorders>
              <w:top w:val="single" w:sz="4" w:space="0" w:color="000000"/>
              <w:bottom w:val="single" w:sz="4" w:space="0" w:color="000000"/>
            </w:tcBorders>
          </w:tcPr>
          <w:p w14:paraId="3270533C" w14:textId="77777777" w:rsidR="00A66239" w:rsidRPr="00A66239" w:rsidRDefault="00A66239" w:rsidP="00422A93">
            <w:pPr>
              <w:pStyle w:val="BodyText2"/>
              <w:shd w:val="solid" w:color="FFFFFF" w:fill="000000"/>
              <w:snapToGrid w:val="0"/>
              <w:spacing w:before="60" w:after="0" w:line="240" w:lineRule="auto"/>
              <w:rPr>
                <w:rFonts w:cs="Arial"/>
                <w:b/>
              </w:rPr>
            </w:pPr>
          </w:p>
        </w:tc>
        <w:tc>
          <w:tcPr>
            <w:tcW w:w="475" w:type="dxa"/>
            <w:tcBorders>
              <w:top w:val="single" w:sz="4" w:space="0" w:color="000000"/>
              <w:bottom w:val="single" w:sz="4" w:space="0" w:color="000000"/>
            </w:tcBorders>
          </w:tcPr>
          <w:p w14:paraId="1A35EA8F" w14:textId="77777777" w:rsidR="00A66239" w:rsidRPr="00A66239" w:rsidRDefault="00A66239" w:rsidP="00422A93">
            <w:pPr>
              <w:pStyle w:val="BodyText2"/>
              <w:shd w:val="solid" w:color="FFFFFF" w:fill="000000"/>
              <w:snapToGrid w:val="0"/>
              <w:spacing w:before="60" w:after="0" w:line="240" w:lineRule="auto"/>
              <w:rPr>
                <w:rFonts w:cs="Arial"/>
                <w:b/>
              </w:rPr>
            </w:pPr>
          </w:p>
        </w:tc>
        <w:tc>
          <w:tcPr>
            <w:tcW w:w="1990" w:type="dxa"/>
            <w:tcBorders>
              <w:top w:val="single" w:sz="4" w:space="0" w:color="000000"/>
              <w:bottom w:val="single" w:sz="4" w:space="0" w:color="000000"/>
              <w:right w:val="single" w:sz="4" w:space="0" w:color="000000"/>
            </w:tcBorders>
          </w:tcPr>
          <w:p w14:paraId="2174278C" w14:textId="77777777" w:rsidR="00A66239" w:rsidRPr="00A66239" w:rsidRDefault="00A66239" w:rsidP="00422A93">
            <w:pPr>
              <w:pStyle w:val="BodyText2"/>
              <w:shd w:val="solid" w:color="FFFFFF" w:fill="000000"/>
              <w:snapToGrid w:val="0"/>
              <w:spacing w:before="60" w:after="0" w:line="240" w:lineRule="auto"/>
              <w:rPr>
                <w:rFonts w:cs="Arial"/>
              </w:rPr>
            </w:pPr>
          </w:p>
        </w:tc>
      </w:tr>
      <w:tr w:rsidR="00A66239" w:rsidRPr="00A66239" w14:paraId="1B47DF0A" w14:textId="77777777" w:rsidTr="00422A93">
        <w:trPr>
          <w:trHeight w:val="23"/>
        </w:trPr>
        <w:tc>
          <w:tcPr>
            <w:tcW w:w="7692" w:type="dxa"/>
            <w:tcBorders>
              <w:top w:val="single" w:sz="4" w:space="0" w:color="000000"/>
              <w:left w:val="single" w:sz="4" w:space="0" w:color="000000"/>
              <w:bottom w:val="single" w:sz="4" w:space="0" w:color="000000"/>
            </w:tcBorders>
          </w:tcPr>
          <w:p w14:paraId="189F9672"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 xml:space="preserve">Evidence of leading multi-disciplinary teams, both within and across organisational boundaries </w:t>
            </w:r>
          </w:p>
        </w:tc>
        <w:tc>
          <w:tcPr>
            <w:tcW w:w="475" w:type="dxa"/>
            <w:tcBorders>
              <w:top w:val="single" w:sz="4" w:space="0" w:color="000000"/>
              <w:left w:val="single" w:sz="4" w:space="0" w:color="000000"/>
              <w:bottom w:val="single" w:sz="4" w:space="0" w:color="000000"/>
            </w:tcBorders>
          </w:tcPr>
          <w:p w14:paraId="3D5B4FE2"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73146958"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711A5BFD"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4442C4C8" w14:textId="77777777" w:rsidTr="00422A93">
        <w:trPr>
          <w:trHeight w:val="23"/>
        </w:trPr>
        <w:tc>
          <w:tcPr>
            <w:tcW w:w="7692" w:type="dxa"/>
            <w:tcBorders>
              <w:top w:val="single" w:sz="4" w:space="0" w:color="000000"/>
              <w:left w:val="single" w:sz="4" w:space="0" w:color="000000"/>
              <w:bottom w:val="single" w:sz="4" w:space="0" w:color="000000"/>
            </w:tcBorders>
          </w:tcPr>
          <w:p w14:paraId="2F444C4A"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 xml:space="preserve">Evidence of successfully leading creation or operation of an academic Centre, Department or Institute </w:t>
            </w:r>
          </w:p>
        </w:tc>
        <w:tc>
          <w:tcPr>
            <w:tcW w:w="475" w:type="dxa"/>
            <w:tcBorders>
              <w:top w:val="single" w:sz="4" w:space="0" w:color="000000"/>
              <w:left w:val="single" w:sz="4" w:space="0" w:color="000000"/>
              <w:bottom w:val="single" w:sz="4" w:space="0" w:color="000000"/>
            </w:tcBorders>
          </w:tcPr>
          <w:p w14:paraId="6A2F7B90"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475" w:type="dxa"/>
            <w:tcBorders>
              <w:top w:val="single" w:sz="4" w:space="0" w:color="000000"/>
              <w:left w:val="single" w:sz="4" w:space="0" w:color="000000"/>
              <w:bottom w:val="single" w:sz="4" w:space="0" w:color="000000"/>
            </w:tcBorders>
          </w:tcPr>
          <w:p w14:paraId="3AA4247F"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1990" w:type="dxa"/>
            <w:tcBorders>
              <w:top w:val="single" w:sz="4" w:space="0" w:color="000000"/>
              <w:left w:val="single" w:sz="4" w:space="0" w:color="000000"/>
              <w:bottom w:val="single" w:sz="4" w:space="0" w:color="000000"/>
              <w:right w:val="single" w:sz="4" w:space="0" w:color="000000"/>
            </w:tcBorders>
          </w:tcPr>
          <w:p w14:paraId="4618E62A"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5CE5CD11" w14:textId="77777777" w:rsidTr="00422A93">
        <w:trPr>
          <w:trHeight w:val="23"/>
        </w:trPr>
        <w:tc>
          <w:tcPr>
            <w:tcW w:w="7692" w:type="dxa"/>
            <w:tcBorders>
              <w:top w:val="single" w:sz="4" w:space="0" w:color="000000"/>
              <w:left w:val="single" w:sz="4" w:space="0" w:color="000000"/>
              <w:bottom w:val="single" w:sz="4" w:space="0" w:color="000000"/>
            </w:tcBorders>
          </w:tcPr>
          <w:p w14:paraId="5083F93B"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Evidence of maintaining an active research profile with a sustained track record of securing external grant funding</w:t>
            </w:r>
          </w:p>
        </w:tc>
        <w:tc>
          <w:tcPr>
            <w:tcW w:w="475" w:type="dxa"/>
            <w:tcBorders>
              <w:top w:val="single" w:sz="4" w:space="0" w:color="000000"/>
              <w:left w:val="single" w:sz="4" w:space="0" w:color="000000"/>
              <w:bottom w:val="single" w:sz="4" w:space="0" w:color="000000"/>
            </w:tcBorders>
          </w:tcPr>
          <w:p w14:paraId="71FD3EB2"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1B5B32F2"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14BE2032"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052D888B" w14:textId="77777777" w:rsidTr="00422A93">
        <w:trPr>
          <w:trHeight w:val="23"/>
        </w:trPr>
        <w:tc>
          <w:tcPr>
            <w:tcW w:w="7692" w:type="dxa"/>
            <w:tcBorders>
              <w:top w:val="single" w:sz="4" w:space="0" w:color="000000"/>
              <w:left w:val="single" w:sz="4" w:space="0" w:color="000000"/>
              <w:bottom w:val="single" w:sz="4" w:space="0" w:color="000000"/>
            </w:tcBorders>
          </w:tcPr>
          <w:p w14:paraId="76F8FA23"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lastRenderedPageBreak/>
              <w:t>Knowledge of the UK Higher Education sector and operating environment</w:t>
            </w:r>
          </w:p>
        </w:tc>
        <w:tc>
          <w:tcPr>
            <w:tcW w:w="475" w:type="dxa"/>
            <w:tcBorders>
              <w:top w:val="single" w:sz="4" w:space="0" w:color="000000"/>
              <w:left w:val="single" w:sz="4" w:space="0" w:color="000000"/>
              <w:bottom w:val="single" w:sz="4" w:space="0" w:color="000000"/>
            </w:tcBorders>
          </w:tcPr>
          <w:p w14:paraId="48A0FF4F"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636F576F"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417A2014"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7B08BDB9" w14:textId="77777777" w:rsidTr="00422A93">
        <w:trPr>
          <w:trHeight w:val="23"/>
        </w:trPr>
        <w:tc>
          <w:tcPr>
            <w:tcW w:w="7692" w:type="dxa"/>
            <w:tcBorders>
              <w:top w:val="single" w:sz="4" w:space="0" w:color="000000"/>
              <w:left w:val="single" w:sz="4" w:space="0" w:color="000000"/>
              <w:bottom w:val="single" w:sz="4" w:space="0" w:color="000000"/>
            </w:tcBorders>
          </w:tcPr>
          <w:p w14:paraId="3EDBF7D7" w14:textId="0176A05A"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 xml:space="preserve">Knowledge of the NHS and delivery / development of clinical services in either </w:t>
            </w:r>
            <w:r w:rsidR="007B6801">
              <w:rPr>
                <w:rFonts w:cs="Arial"/>
              </w:rPr>
              <w:t>diabetes, endocrinology or obesity</w:t>
            </w:r>
          </w:p>
        </w:tc>
        <w:tc>
          <w:tcPr>
            <w:tcW w:w="475" w:type="dxa"/>
            <w:tcBorders>
              <w:top w:val="single" w:sz="4" w:space="0" w:color="000000"/>
              <w:left w:val="single" w:sz="4" w:space="0" w:color="000000"/>
              <w:bottom w:val="single" w:sz="4" w:space="0" w:color="000000"/>
            </w:tcBorders>
          </w:tcPr>
          <w:p w14:paraId="17BFC78D"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33573AE6"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347B58C1"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69E48760" w14:textId="77777777" w:rsidTr="00422A93">
        <w:trPr>
          <w:trHeight w:val="23"/>
        </w:trPr>
        <w:tc>
          <w:tcPr>
            <w:tcW w:w="7692" w:type="dxa"/>
            <w:tcBorders>
              <w:top w:val="single" w:sz="4" w:space="0" w:color="000000"/>
              <w:left w:val="single" w:sz="4" w:space="0" w:color="000000"/>
              <w:bottom w:val="single" w:sz="4" w:space="0" w:color="000000"/>
            </w:tcBorders>
          </w:tcPr>
          <w:p w14:paraId="19636BB4"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color w:val="000000"/>
              </w:rPr>
              <w:t>Understanding of the concepts and application of clinical governance</w:t>
            </w:r>
          </w:p>
        </w:tc>
        <w:tc>
          <w:tcPr>
            <w:tcW w:w="475" w:type="dxa"/>
            <w:tcBorders>
              <w:top w:val="single" w:sz="4" w:space="0" w:color="000000"/>
              <w:left w:val="single" w:sz="4" w:space="0" w:color="000000"/>
              <w:bottom w:val="single" w:sz="4" w:space="0" w:color="000000"/>
            </w:tcBorders>
          </w:tcPr>
          <w:p w14:paraId="162797DC"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07F980A2"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09C872B0"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53B77EA0" w14:textId="77777777" w:rsidTr="00422A93">
        <w:trPr>
          <w:trHeight w:val="23"/>
        </w:trPr>
        <w:tc>
          <w:tcPr>
            <w:tcW w:w="7692" w:type="dxa"/>
            <w:tcBorders>
              <w:top w:val="single" w:sz="4" w:space="0" w:color="000000"/>
              <w:left w:val="single" w:sz="4" w:space="0" w:color="000000"/>
              <w:bottom w:val="single" w:sz="4" w:space="0" w:color="000000"/>
            </w:tcBorders>
          </w:tcPr>
          <w:p w14:paraId="7F2A6BFA" w14:textId="77777777" w:rsidR="00A66239" w:rsidRPr="00A66239" w:rsidRDefault="00A66239" w:rsidP="00422A93">
            <w:pPr>
              <w:pStyle w:val="BodyText2"/>
              <w:shd w:val="solid" w:color="FFFFFF" w:fill="000000"/>
              <w:snapToGrid w:val="0"/>
              <w:spacing w:before="60" w:after="0" w:line="240" w:lineRule="auto"/>
              <w:rPr>
                <w:rFonts w:cs="Arial"/>
              </w:rPr>
            </w:pPr>
          </w:p>
        </w:tc>
        <w:tc>
          <w:tcPr>
            <w:tcW w:w="475" w:type="dxa"/>
            <w:tcBorders>
              <w:top w:val="single" w:sz="4" w:space="0" w:color="000000"/>
              <w:left w:val="single" w:sz="4" w:space="0" w:color="000000"/>
              <w:bottom w:val="single" w:sz="4" w:space="0" w:color="000000"/>
            </w:tcBorders>
          </w:tcPr>
          <w:p w14:paraId="197D4A90"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475" w:type="dxa"/>
            <w:tcBorders>
              <w:top w:val="single" w:sz="4" w:space="0" w:color="000000"/>
              <w:left w:val="single" w:sz="4" w:space="0" w:color="000000"/>
              <w:bottom w:val="single" w:sz="4" w:space="0" w:color="000000"/>
            </w:tcBorders>
          </w:tcPr>
          <w:p w14:paraId="76A229C9"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4629FC0E" w14:textId="77777777" w:rsidR="00A66239" w:rsidRPr="00A66239" w:rsidRDefault="00A66239" w:rsidP="00422A93">
            <w:pPr>
              <w:pStyle w:val="BodyText2"/>
              <w:shd w:val="solid" w:color="FFFFFF" w:fill="000000"/>
              <w:snapToGrid w:val="0"/>
              <w:spacing w:before="60" w:after="0" w:line="240" w:lineRule="auto"/>
              <w:rPr>
                <w:rFonts w:cs="Arial"/>
              </w:rPr>
            </w:pPr>
          </w:p>
        </w:tc>
      </w:tr>
      <w:tr w:rsidR="00A66239" w:rsidRPr="00A66239" w14:paraId="6FEF76CA" w14:textId="77777777" w:rsidTr="00422A93">
        <w:trPr>
          <w:trHeight w:val="23"/>
        </w:trPr>
        <w:tc>
          <w:tcPr>
            <w:tcW w:w="7692" w:type="dxa"/>
            <w:tcBorders>
              <w:top w:val="single" w:sz="4" w:space="0" w:color="000000"/>
              <w:left w:val="single" w:sz="4" w:space="0" w:color="000000"/>
              <w:bottom w:val="single" w:sz="4" w:space="0" w:color="000000"/>
            </w:tcBorders>
          </w:tcPr>
          <w:p w14:paraId="41819C49"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b/>
              </w:rPr>
              <w:t>Experience</w:t>
            </w:r>
          </w:p>
        </w:tc>
        <w:tc>
          <w:tcPr>
            <w:tcW w:w="475" w:type="dxa"/>
            <w:tcBorders>
              <w:top w:val="single" w:sz="4" w:space="0" w:color="000000"/>
              <w:bottom w:val="single" w:sz="4" w:space="0" w:color="000000"/>
            </w:tcBorders>
          </w:tcPr>
          <w:p w14:paraId="24558665"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475" w:type="dxa"/>
            <w:tcBorders>
              <w:top w:val="single" w:sz="4" w:space="0" w:color="000000"/>
              <w:bottom w:val="single" w:sz="4" w:space="0" w:color="000000"/>
            </w:tcBorders>
          </w:tcPr>
          <w:p w14:paraId="00119D6C"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bottom w:val="single" w:sz="4" w:space="0" w:color="000000"/>
              <w:right w:val="single" w:sz="4" w:space="0" w:color="000000"/>
            </w:tcBorders>
          </w:tcPr>
          <w:p w14:paraId="3ED0EBB6" w14:textId="77777777" w:rsidR="00A66239" w:rsidRPr="00A66239" w:rsidRDefault="00A66239" w:rsidP="00422A93">
            <w:pPr>
              <w:pStyle w:val="BodyText2"/>
              <w:shd w:val="solid" w:color="FFFFFF" w:fill="000000"/>
              <w:snapToGrid w:val="0"/>
              <w:spacing w:before="60" w:after="0" w:line="240" w:lineRule="auto"/>
              <w:rPr>
                <w:rFonts w:cs="Arial"/>
              </w:rPr>
            </w:pPr>
          </w:p>
        </w:tc>
      </w:tr>
      <w:tr w:rsidR="00A66239" w:rsidRPr="00A66239" w14:paraId="44F15A61" w14:textId="77777777" w:rsidTr="00422A93">
        <w:trPr>
          <w:trHeight w:val="23"/>
        </w:trPr>
        <w:tc>
          <w:tcPr>
            <w:tcW w:w="7692" w:type="dxa"/>
            <w:tcBorders>
              <w:top w:val="single" w:sz="4" w:space="0" w:color="000000"/>
              <w:left w:val="single" w:sz="4" w:space="0" w:color="000000"/>
              <w:bottom w:val="single" w:sz="4" w:space="0" w:color="000000"/>
            </w:tcBorders>
          </w:tcPr>
          <w:p w14:paraId="50AD0A69"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Experience of developing and implementing research, education and / or clinical service strategy</w:t>
            </w:r>
          </w:p>
        </w:tc>
        <w:tc>
          <w:tcPr>
            <w:tcW w:w="475" w:type="dxa"/>
            <w:tcBorders>
              <w:top w:val="single" w:sz="4" w:space="0" w:color="000000"/>
              <w:left w:val="single" w:sz="4" w:space="0" w:color="000000"/>
              <w:bottom w:val="single" w:sz="4" w:space="0" w:color="000000"/>
            </w:tcBorders>
          </w:tcPr>
          <w:p w14:paraId="19752EB2"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3F8D2041"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241B434B"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622BFEA1" w14:textId="77777777" w:rsidTr="00422A93">
        <w:trPr>
          <w:trHeight w:val="23"/>
        </w:trPr>
        <w:tc>
          <w:tcPr>
            <w:tcW w:w="7692" w:type="dxa"/>
            <w:tcBorders>
              <w:top w:val="single" w:sz="4" w:space="0" w:color="000000"/>
              <w:left w:val="single" w:sz="4" w:space="0" w:color="000000"/>
              <w:bottom w:val="single" w:sz="4" w:space="0" w:color="000000"/>
            </w:tcBorders>
          </w:tcPr>
          <w:p w14:paraId="7A2515AC"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Track record of strategic leadership of clinical, academic or research services, especially with regard to the integration of research, clinical practice and teaching to drive new models of care</w:t>
            </w:r>
          </w:p>
        </w:tc>
        <w:tc>
          <w:tcPr>
            <w:tcW w:w="475" w:type="dxa"/>
            <w:tcBorders>
              <w:top w:val="single" w:sz="4" w:space="0" w:color="000000"/>
              <w:left w:val="single" w:sz="4" w:space="0" w:color="000000"/>
              <w:bottom w:val="single" w:sz="4" w:space="0" w:color="000000"/>
            </w:tcBorders>
          </w:tcPr>
          <w:p w14:paraId="7BBD70E6"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2DA12CDB"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1B42866F"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 R</w:t>
            </w:r>
          </w:p>
        </w:tc>
      </w:tr>
      <w:tr w:rsidR="00A66239" w:rsidRPr="00A66239" w14:paraId="31ABFD65" w14:textId="77777777" w:rsidTr="00422A93">
        <w:trPr>
          <w:trHeight w:val="23"/>
        </w:trPr>
        <w:tc>
          <w:tcPr>
            <w:tcW w:w="7692" w:type="dxa"/>
            <w:tcBorders>
              <w:top w:val="single" w:sz="4" w:space="0" w:color="000000"/>
              <w:left w:val="single" w:sz="4" w:space="0" w:color="000000"/>
              <w:bottom w:val="single" w:sz="4" w:space="0" w:color="000000"/>
            </w:tcBorders>
          </w:tcPr>
          <w:p w14:paraId="4CD44A11"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Capability and confidence to manage the research and academic agenda and to establish its credibility as a leader in its field both on a national and international platform</w:t>
            </w:r>
          </w:p>
        </w:tc>
        <w:tc>
          <w:tcPr>
            <w:tcW w:w="475" w:type="dxa"/>
            <w:tcBorders>
              <w:top w:val="single" w:sz="4" w:space="0" w:color="000000"/>
              <w:left w:val="single" w:sz="4" w:space="0" w:color="000000"/>
              <w:bottom w:val="single" w:sz="4" w:space="0" w:color="000000"/>
            </w:tcBorders>
          </w:tcPr>
          <w:p w14:paraId="072A5761"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7E66D89C"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4A90D79A"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34F9F94F" w14:textId="77777777" w:rsidTr="00422A93">
        <w:trPr>
          <w:trHeight w:val="23"/>
        </w:trPr>
        <w:tc>
          <w:tcPr>
            <w:tcW w:w="7692" w:type="dxa"/>
            <w:tcBorders>
              <w:top w:val="single" w:sz="4" w:space="0" w:color="000000"/>
              <w:left w:val="single" w:sz="4" w:space="0" w:color="000000"/>
              <w:bottom w:val="single" w:sz="4" w:space="0" w:color="000000"/>
            </w:tcBorders>
          </w:tcPr>
          <w:p w14:paraId="2E24EC5A"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 xml:space="preserve">Experience in supervising PGR students and / or clinical fellows </w:t>
            </w:r>
          </w:p>
        </w:tc>
        <w:tc>
          <w:tcPr>
            <w:tcW w:w="475" w:type="dxa"/>
            <w:tcBorders>
              <w:top w:val="single" w:sz="4" w:space="0" w:color="000000"/>
              <w:left w:val="single" w:sz="4" w:space="0" w:color="000000"/>
              <w:bottom w:val="single" w:sz="4" w:space="0" w:color="000000"/>
            </w:tcBorders>
          </w:tcPr>
          <w:p w14:paraId="598BF84F"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69C1D0B4"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4B7079B5"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2864D759" w14:textId="77777777" w:rsidTr="00422A93">
        <w:trPr>
          <w:trHeight w:val="23"/>
        </w:trPr>
        <w:tc>
          <w:tcPr>
            <w:tcW w:w="7692" w:type="dxa"/>
            <w:tcBorders>
              <w:top w:val="single" w:sz="4" w:space="0" w:color="000000"/>
              <w:left w:val="single" w:sz="4" w:space="0" w:color="000000"/>
              <w:bottom w:val="single" w:sz="4" w:space="0" w:color="000000"/>
            </w:tcBorders>
          </w:tcPr>
          <w:p w14:paraId="74DE1C65"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Experience in mentoring and developing junior research colleagues</w:t>
            </w:r>
          </w:p>
        </w:tc>
        <w:tc>
          <w:tcPr>
            <w:tcW w:w="475" w:type="dxa"/>
            <w:tcBorders>
              <w:top w:val="single" w:sz="4" w:space="0" w:color="000000"/>
              <w:left w:val="single" w:sz="4" w:space="0" w:color="000000"/>
              <w:bottom w:val="single" w:sz="4" w:space="0" w:color="000000"/>
            </w:tcBorders>
          </w:tcPr>
          <w:p w14:paraId="07F44096"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405E7191"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02378E90"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01135550" w14:textId="77777777" w:rsidTr="00422A93">
        <w:trPr>
          <w:trHeight w:val="23"/>
        </w:trPr>
        <w:tc>
          <w:tcPr>
            <w:tcW w:w="7692" w:type="dxa"/>
            <w:tcBorders>
              <w:top w:val="single" w:sz="4" w:space="0" w:color="000000"/>
              <w:left w:val="single" w:sz="4" w:space="0" w:color="000000"/>
              <w:bottom w:val="single" w:sz="4" w:space="0" w:color="000000"/>
            </w:tcBorders>
          </w:tcPr>
          <w:p w14:paraId="3FA62B2E" w14:textId="77777777" w:rsidR="00A66239" w:rsidRPr="00A66239" w:rsidRDefault="00A66239" w:rsidP="00422A93">
            <w:pPr>
              <w:pStyle w:val="BodyText2"/>
              <w:shd w:val="solid" w:color="FFFFFF" w:fill="000000"/>
              <w:snapToGrid w:val="0"/>
              <w:spacing w:before="60" w:after="0" w:line="240" w:lineRule="auto"/>
              <w:rPr>
                <w:rFonts w:cs="Arial"/>
                <w:b/>
              </w:rPr>
            </w:pPr>
          </w:p>
        </w:tc>
        <w:tc>
          <w:tcPr>
            <w:tcW w:w="475" w:type="dxa"/>
            <w:tcBorders>
              <w:top w:val="single" w:sz="4" w:space="0" w:color="000000"/>
              <w:bottom w:val="single" w:sz="4" w:space="0" w:color="000000"/>
            </w:tcBorders>
          </w:tcPr>
          <w:p w14:paraId="64D356E1"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475" w:type="dxa"/>
            <w:tcBorders>
              <w:top w:val="single" w:sz="4" w:space="0" w:color="000000"/>
              <w:bottom w:val="single" w:sz="4" w:space="0" w:color="000000"/>
            </w:tcBorders>
          </w:tcPr>
          <w:p w14:paraId="1AB8E768"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bottom w:val="single" w:sz="4" w:space="0" w:color="000000"/>
              <w:right w:val="single" w:sz="4" w:space="0" w:color="000000"/>
            </w:tcBorders>
          </w:tcPr>
          <w:p w14:paraId="42924950" w14:textId="77777777" w:rsidR="00A66239" w:rsidRPr="00A66239" w:rsidRDefault="00A66239" w:rsidP="00422A93">
            <w:pPr>
              <w:pStyle w:val="BodyText2"/>
              <w:shd w:val="solid" w:color="FFFFFF" w:fill="000000"/>
              <w:snapToGrid w:val="0"/>
              <w:spacing w:before="60" w:after="0" w:line="240" w:lineRule="auto"/>
              <w:rPr>
                <w:rFonts w:cs="Arial"/>
              </w:rPr>
            </w:pPr>
          </w:p>
        </w:tc>
      </w:tr>
      <w:tr w:rsidR="00A66239" w:rsidRPr="00A66239" w14:paraId="36B5F75E" w14:textId="77777777" w:rsidTr="00422A93">
        <w:trPr>
          <w:trHeight w:val="23"/>
        </w:trPr>
        <w:tc>
          <w:tcPr>
            <w:tcW w:w="7692" w:type="dxa"/>
            <w:tcBorders>
              <w:top w:val="single" w:sz="4" w:space="0" w:color="000000"/>
              <w:left w:val="single" w:sz="4" w:space="0" w:color="000000"/>
              <w:bottom w:val="single" w:sz="4" w:space="0" w:color="000000"/>
            </w:tcBorders>
          </w:tcPr>
          <w:p w14:paraId="5DBC89F8"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b/>
              </w:rPr>
              <w:t>Personal characteristics/other requirements</w:t>
            </w:r>
          </w:p>
        </w:tc>
        <w:tc>
          <w:tcPr>
            <w:tcW w:w="475" w:type="dxa"/>
            <w:tcBorders>
              <w:top w:val="single" w:sz="4" w:space="0" w:color="000000"/>
              <w:bottom w:val="single" w:sz="4" w:space="0" w:color="000000"/>
            </w:tcBorders>
          </w:tcPr>
          <w:p w14:paraId="2505D9DF"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475" w:type="dxa"/>
            <w:tcBorders>
              <w:top w:val="single" w:sz="4" w:space="0" w:color="000000"/>
              <w:bottom w:val="single" w:sz="4" w:space="0" w:color="000000"/>
            </w:tcBorders>
          </w:tcPr>
          <w:p w14:paraId="6C83F8BB"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bottom w:val="single" w:sz="4" w:space="0" w:color="000000"/>
              <w:right w:val="single" w:sz="4" w:space="0" w:color="000000"/>
            </w:tcBorders>
          </w:tcPr>
          <w:p w14:paraId="1DEA0B08" w14:textId="77777777" w:rsidR="00A66239" w:rsidRPr="00A66239" w:rsidRDefault="00A66239" w:rsidP="00422A93">
            <w:pPr>
              <w:pStyle w:val="BodyText2"/>
              <w:shd w:val="solid" w:color="FFFFFF" w:fill="000000"/>
              <w:snapToGrid w:val="0"/>
              <w:spacing w:before="60" w:after="0" w:line="240" w:lineRule="auto"/>
              <w:rPr>
                <w:rFonts w:cs="Arial"/>
              </w:rPr>
            </w:pPr>
          </w:p>
        </w:tc>
      </w:tr>
      <w:tr w:rsidR="00A66239" w:rsidRPr="00A66239" w14:paraId="30F66C2B" w14:textId="77777777" w:rsidTr="00422A93">
        <w:trPr>
          <w:trHeight w:val="23"/>
        </w:trPr>
        <w:tc>
          <w:tcPr>
            <w:tcW w:w="7692" w:type="dxa"/>
            <w:tcBorders>
              <w:top w:val="single" w:sz="4" w:space="0" w:color="000000"/>
              <w:left w:val="single" w:sz="4" w:space="0" w:color="000000"/>
              <w:bottom w:val="single" w:sz="4" w:space="0" w:color="000000"/>
            </w:tcBorders>
          </w:tcPr>
          <w:p w14:paraId="7DDF933B"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Ability to work collaboratively with academic, research, clinical and professional services / NHS managerial colleagues</w:t>
            </w:r>
          </w:p>
        </w:tc>
        <w:tc>
          <w:tcPr>
            <w:tcW w:w="475" w:type="dxa"/>
            <w:tcBorders>
              <w:top w:val="single" w:sz="4" w:space="0" w:color="000000"/>
              <w:left w:val="single" w:sz="4" w:space="0" w:color="000000"/>
              <w:bottom w:val="single" w:sz="4" w:space="0" w:color="000000"/>
            </w:tcBorders>
          </w:tcPr>
          <w:p w14:paraId="05204695"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42407741"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3E2BCA23"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 R</w:t>
            </w:r>
          </w:p>
        </w:tc>
      </w:tr>
      <w:tr w:rsidR="00A66239" w:rsidRPr="00A66239" w14:paraId="2FA3EE52" w14:textId="77777777" w:rsidTr="00422A93">
        <w:trPr>
          <w:trHeight w:val="23"/>
        </w:trPr>
        <w:tc>
          <w:tcPr>
            <w:tcW w:w="7692" w:type="dxa"/>
            <w:tcBorders>
              <w:top w:val="single" w:sz="4" w:space="0" w:color="000000"/>
              <w:left w:val="single" w:sz="4" w:space="0" w:color="000000"/>
              <w:bottom w:val="single" w:sz="4" w:space="0" w:color="000000"/>
            </w:tcBorders>
          </w:tcPr>
          <w:p w14:paraId="78A08416"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 xml:space="preserve">Demonstrate ability to adapt leadership style and approach to work with a range of colleagues and to deliver results </w:t>
            </w:r>
          </w:p>
        </w:tc>
        <w:tc>
          <w:tcPr>
            <w:tcW w:w="475" w:type="dxa"/>
            <w:tcBorders>
              <w:top w:val="single" w:sz="4" w:space="0" w:color="000000"/>
              <w:left w:val="single" w:sz="4" w:space="0" w:color="000000"/>
              <w:bottom w:val="single" w:sz="4" w:space="0" w:color="000000"/>
            </w:tcBorders>
          </w:tcPr>
          <w:p w14:paraId="40F8315C"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0C8A6985"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34FED7A7"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12ED44D4" w14:textId="77777777" w:rsidTr="00422A93">
        <w:trPr>
          <w:trHeight w:val="23"/>
        </w:trPr>
        <w:tc>
          <w:tcPr>
            <w:tcW w:w="7692" w:type="dxa"/>
            <w:tcBorders>
              <w:top w:val="single" w:sz="4" w:space="0" w:color="000000"/>
              <w:left w:val="single" w:sz="4" w:space="0" w:color="000000"/>
              <w:bottom w:val="single" w:sz="4" w:space="0" w:color="000000"/>
            </w:tcBorders>
          </w:tcPr>
          <w:p w14:paraId="3EFA92A9"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Demonstrable skills in working creatively with difference and conflict</w:t>
            </w:r>
          </w:p>
        </w:tc>
        <w:tc>
          <w:tcPr>
            <w:tcW w:w="475" w:type="dxa"/>
            <w:tcBorders>
              <w:top w:val="single" w:sz="4" w:space="0" w:color="000000"/>
              <w:left w:val="single" w:sz="4" w:space="0" w:color="000000"/>
              <w:bottom w:val="single" w:sz="4" w:space="0" w:color="000000"/>
            </w:tcBorders>
          </w:tcPr>
          <w:p w14:paraId="2DD93330"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008D9175"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5211E0E3"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54A55F88" w14:textId="77777777" w:rsidTr="00422A93">
        <w:trPr>
          <w:trHeight w:val="23"/>
        </w:trPr>
        <w:tc>
          <w:tcPr>
            <w:tcW w:w="7692" w:type="dxa"/>
            <w:tcBorders>
              <w:top w:val="single" w:sz="4" w:space="0" w:color="000000"/>
              <w:left w:val="single" w:sz="4" w:space="0" w:color="000000"/>
              <w:bottom w:val="single" w:sz="4" w:space="0" w:color="000000"/>
            </w:tcBorders>
          </w:tcPr>
          <w:p w14:paraId="33762839"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 xml:space="preserve">Ability to listen to different perspectives, encourage participation, make and execute decisions </w:t>
            </w:r>
          </w:p>
        </w:tc>
        <w:tc>
          <w:tcPr>
            <w:tcW w:w="475" w:type="dxa"/>
            <w:tcBorders>
              <w:top w:val="single" w:sz="4" w:space="0" w:color="000000"/>
              <w:left w:val="single" w:sz="4" w:space="0" w:color="000000"/>
              <w:bottom w:val="single" w:sz="4" w:space="0" w:color="000000"/>
            </w:tcBorders>
          </w:tcPr>
          <w:p w14:paraId="56F1D6D1"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16CAEE0A"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021AAE82"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47BA855A" w14:textId="77777777" w:rsidTr="00422A93">
        <w:trPr>
          <w:trHeight w:val="23"/>
        </w:trPr>
        <w:tc>
          <w:tcPr>
            <w:tcW w:w="7692" w:type="dxa"/>
            <w:tcBorders>
              <w:top w:val="single" w:sz="4" w:space="0" w:color="000000"/>
              <w:left w:val="single" w:sz="4" w:space="0" w:color="000000"/>
              <w:bottom w:val="single" w:sz="4" w:space="0" w:color="000000"/>
            </w:tcBorders>
          </w:tcPr>
          <w:p w14:paraId="674EC7FC" w14:textId="77777777" w:rsidR="00A66239" w:rsidRPr="00A66239" w:rsidRDefault="00A66239" w:rsidP="00422A93">
            <w:pPr>
              <w:pStyle w:val="BodyText2"/>
              <w:shd w:val="solid" w:color="FFFFFF" w:fill="000000"/>
              <w:snapToGrid w:val="0"/>
              <w:spacing w:before="60" w:after="0" w:line="240" w:lineRule="auto"/>
              <w:rPr>
                <w:rFonts w:cs="Arial"/>
                <w:color w:val="000000"/>
              </w:rPr>
            </w:pPr>
            <w:r w:rsidRPr="00A66239">
              <w:rPr>
                <w:rFonts w:cs="Arial"/>
                <w:color w:val="000000"/>
              </w:rPr>
              <w:t xml:space="preserve">Ability to build shared vision and active engagement </w:t>
            </w:r>
          </w:p>
        </w:tc>
        <w:tc>
          <w:tcPr>
            <w:tcW w:w="475" w:type="dxa"/>
            <w:tcBorders>
              <w:top w:val="single" w:sz="4" w:space="0" w:color="000000"/>
              <w:left w:val="single" w:sz="4" w:space="0" w:color="000000"/>
              <w:bottom w:val="single" w:sz="4" w:space="0" w:color="000000"/>
            </w:tcBorders>
          </w:tcPr>
          <w:p w14:paraId="545B0EC0"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4451AD6C"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0C76E1A1"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 xml:space="preserve">AP, I </w:t>
            </w:r>
          </w:p>
        </w:tc>
      </w:tr>
      <w:tr w:rsidR="00A66239" w:rsidRPr="00A66239" w14:paraId="30810B2D" w14:textId="77777777" w:rsidTr="00422A93">
        <w:trPr>
          <w:trHeight w:val="23"/>
        </w:trPr>
        <w:tc>
          <w:tcPr>
            <w:tcW w:w="7692" w:type="dxa"/>
            <w:tcBorders>
              <w:top w:val="single" w:sz="4" w:space="0" w:color="000000"/>
              <w:left w:val="single" w:sz="4" w:space="0" w:color="000000"/>
              <w:bottom w:val="single" w:sz="4" w:space="0" w:color="000000"/>
            </w:tcBorders>
          </w:tcPr>
          <w:p w14:paraId="599A9972" w14:textId="77777777" w:rsidR="00A66239" w:rsidRPr="00A66239" w:rsidRDefault="00A66239" w:rsidP="00422A93">
            <w:pPr>
              <w:pStyle w:val="BodyText2"/>
              <w:shd w:val="solid" w:color="FFFFFF" w:fill="000000"/>
              <w:snapToGrid w:val="0"/>
              <w:spacing w:before="60" w:after="0" w:line="240" w:lineRule="auto"/>
              <w:rPr>
                <w:rFonts w:cs="Arial"/>
                <w:color w:val="000000"/>
              </w:rPr>
            </w:pPr>
            <w:r w:rsidRPr="00A66239">
              <w:rPr>
                <w:rFonts w:cs="Arial"/>
                <w:color w:val="000000"/>
              </w:rPr>
              <w:t xml:space="preserve">Ability to review current ways of working, and identify new and innovative solutions to service delivery and partnerships </w:t>
            </w:r>
          </w:p>
        </w:tc>
        <w:tc>
          <w:tcPr>
            <w:tcW w:w="475" w:type="dxa"/>
            <w:tcBorders>
              <w:top w:val="single" w:sz="4" w:space="0" w:color="000000"/>
              <w:left w:val="single" w:sz="4" w:space="0" w:color="000000"/>
              <w:bottom w:val="single" w:sz="4" w:space="0" w:color="000000"/>
            </w:tcBorders>
          </w:tcPr>
          <w:p w14:paraId="1AFD9CC2" w14:textId="77777777" w:rsidR="00A66239" w:rsidRPr="00A66239" w:rsidRDefault="00A66239" w:rsidP="00422A93">
            <w:pPr>
              <w:pStyle w:val="BodyText2"/>
              <w:shd w:val="solid" w:color="FFFFFF" w:fill="000000"/>
              <w:snapToGrid w:val="0"/>
              <w:spacing w:before="60" w:after="0" w:line="240" w:lineRule="auto"/>
              <w:jc w:val="center"/>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0E737900" w14:textId="77777777" w:rsidR="00A66239" w:rsidRPr="00A66239" w:rsidRDefault="00A66239" w:rsidP="00422A93">
            <w:pPr>
              <w:pStyle w:val="BodyText2"/>
              <w:shd w:val="solid" w:color="FFFFFF" w:fill="000000"/>
              <w:snapToGrid w:val="0"/>
              <w:spacing w:before="60" w:after="0" w:line="240" w:lineRule="auto"/>
              <w:jc w:val="center"/>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7EF5A327"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r w:rsidR="00A66239" w:rsidRPr="00A66239" w14:paraId="4DF52890" w14:textId="77777777" w:rsidTr="00422A93">
        <w:trPr>
          <w:trHeight w:val="23"/>
        </w:trPr>
        <w:tc>
          <w:tcPr>
            <w:tcW w:w="7692" w:type="dxa"/>
            <w:tcBorders>
              <w:top w:val="single" w:sz="4" w:space="0" w:color="000000"/>
              <w:left w:val="single" w:sz="4" w:space="0" w:color="000000"/>
              <w:bottom w:val="single" w:sz="4" w:space="0" w:color="000000"/>
            </w:tcBorders>
          </w:tcPr>
          <w:p w14:paraId="61968880"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Ability to develop a strong, active network of both internal and external contacts / collaborators.</w:t>
            </w:r>
          </w:p>
        </w:tc>
        <w:tc>
          <w:tcPr>
            <w:tcW w:w="475" w:type="dxa"/>
            <w:tcBorders>
              <w:top w:val="single" w:sz="4" w:space="0" w:color="000000"/>
              <w:left w:val="single" w:sz="4" w:space="0" w:color="000000"/>
              <w:bottom w:val="single" w:sz="4" w:space="0" w:color="000000"/>
            </w:tcBorders>
          </w:tcPr>
          <w:p w14:paraId="66FF7775"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rPr>
              <w:t xml:space="preserve"> </w:t>
            </w:r>
            <w:r w:rsidRPr="00A66239">
              <w:rPr>
                <w:rFonts w:cs="Arial"/>
                <w:b/>
              </w:rPr>
              <w:t>x</w:t>
            </w:r>
          </w:p>
        </w:tc>
        <w:tc>
          <w:tcPr>
            <w:tcW w:w="475" w:type="dxa"/>
            <w:tcBorders>
              <w:top w:val="single" w:sz="4" w:space="0" w:color="000000"/>
              <w:left w:val="single" w:sz="4" w:space="0" w:color="000000"/>
              <w:bottom w:val="single" w:sz="4" w:space="0" w:color="000000"/>
            </w:tcBorders>
          </w:tcPr>
          <w:p w14:paraId="71969EFD" w14:textId="77777777" w:rsidR="00A66239" w:rsidRPr="00A66239" w:rsidRDefault="00A66239" w:rsidP="00422A93">
            <w:pPr>
              <w:pStyle w:val="BodyText2"/>
              <w:shd w:val="solid" w:color="FFFFFF" w:fill="000000"/>
              <w:snapToGrid w:val="0"/>
              <w:spacing w:before="60" w:after="0" w:line="240" w:lineRule="auto"/>
              <w:rPr>
                <w:rFonts w:cs="Arial"/>
              </w:rPr>
            </w:pPr>
          </w:p>
        </w:tc>
        <w:tc>
          <w:tcPr>
            <w:tcW w:w="1990" w:type="dxa"/>
            <w:tcBorders>
              <w:top w:val="single" w:sz="4" w:space="0" w:color="000000"/>
              <w:left w:val="single" w:sz="4" w:space="0" w:color="000000"/>
              <w:bottom w:val="single" w:sz="4" w:space="0" w:color="000000"/>
              <w:right w:val="single" w:sz="4" w:space="0" w:color="000000"/>
            </w:tcBorders>
          </w:tcPr>
          <w:p w14:paraId="3A5E47CC"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 R</w:t>
            </w:r>
          </w:p>
        </w:tc>
      </w:tr>
      <w:tr w:rsidR="00A66239" w:rsidRPr="00A66239" w14:paraId="5D3219EE" w14:textId="77777777" w:rsidTr="00422A93">
        <w:trPr>
          <w:trHeight w:val="23"/>
        </w:trPr>
        <w:tc>
          <w:tcPr>
            <w:tcW w:w="7692" w:type="dxa"/>
            <w:tcBorders>
              <w:top w:val="single" w:sz="4" w:space="0" w:color="000000"/>
              <w:left w:val="single" w:sz="4" w:space="0" w:color="000000"/>
              <w:bottom w:val="single" w:sz="4" w:space="0" w:color="000000"/>
            </w:tcBorders>
          </w:tcPr>
          <w:p w14:paraId="5121F2C7"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Excellent interpersonal skills with the ability to build and influence senior stakeholders</w:t>
            </w:r>
          </w:p>
        </w:tc>
        <w:tc>
          <w:tcPr>
            <w:tcW w:w="475" w:type="dxa"/>
            <w:tcBorders>
              <w:top w:val="single" w:sz="4" w:space="0" w:color="000000"/>
              <w:left w:val="single" w:sz="4" w:space="0" w:color="000000"/>
              <w:bottom w:val="single" w:sz="4" w:space="0" w:color="000000"/>
            </w:tcBorders>
          </w:tcPr>
          <w:p w14:paraId="1E6BADA9"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23F1FF6B" w14:textId="77777777" w:rsidR="00A66239" w:rsidRPr="00A66239" w:rsidRDefault="00A66239" w:rsidP="00422A93">
            <w:pPr>
              <w:pStyle w:val="BodyText2"/>
              <w:shd w:val="solid" w:color="FFFFFF" w:fill="000000"/>
              <w:snapToGrid w:val="0"/>
              <w:spacing w:before="60" w:after="0" w:line="240" w:lineRule="auto"/>
              <w:rPr>
                <w:rFonts w:cs="Arial"/>
                <w:b/>
              </w:rPr>
            </w:pPr>
          </w:p>
        </w:tc>
        <w:tc>
          <w:tcPr>
            <w:tcW w:w="1990" w:type="dxa"/>
            <w:tcBorders>
              <w:top w:val="single" w:sz="4" w:space="0" w:color="000000"/>
              <w:left w:val="single" w:sz="4" w:space="0" w:color="000000"/>
              <w:bottom w:val="single" w:sz="4" w:space="0" w:color="000000"/>
              <w:right w:val="single" w:sz="4" w:space="0" w:color="000000"/>
            </w:tcBorders>
          </w:tcPr>
          <w:p w14:paraId="15E0693E"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 xml:space="preserve">AP, I </w:t>
            </w:r>
          </w:p>
        </w:tc>
      </w:tr>
      <w:tr w:rsidR="00A66239" w:rsidRPr="00A66239" w14:paraId="0824BC54" w14:textId="77777777" w:rsidTr="00422A93">
        <w:trPr>
          <w:trHeight w:val="23"/>
        </w:trPr>
        <w:tc>
          <w:tcPr>
            <w:tcW w:w="7692" w:type="dxa"/>
            <w:tcBorders>
              <w:top w:val="single" w:sz="4" w:space="0" w:color="000000"/>
              <w:left w:val="single" w:sz="4" w:space="0" w:color="000000"/>
              <w:bottom w:val="single" w:sz="4" w:space="0" w:color="000000"/>
            </w:tcBorders>
          </w:tcPr>
          <w:p w14:paraId="6619B851"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Resilience to working in an environment that requires multitasking and deliver against objectives under pressure</w:t>
            </w:r>
          </w:p>
        </w:tc>
        <w:tc>
          <w:tcPr>
            <w:tcW w:w="475" w:type="dxa"/>
            <w:tcBorders>
              <w:top w:val="single" w:sz="4" w:space="0" w:color="000000"/>
              <w:left w:val="single" w:sz="4" w:space="0" w:color="000000"/>
              <w:bottom w:val="single" w:sz="4" w:space="0" w:color="000000"/>
            </w:tcBorders>
          </w:tcPr>
          <w:p w14:paraId="03C0FB1C"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1D6E0211" w14:textId="77777777" w:rsidR="00A66239" w:rsidRPr="00A66239" w:rsidRDefault="00A66239" w:rsidP="00422A93">
            <w:pPr>
              <w:pStyle w:val="BodyText2"/>
              <w:shd w:val="solid" w:color="FFFFFF" w:fill="000000"/>
              <w:snapToGrid w:val="0"/>
              <w:spacing w:before="60" w:after="0" w:line="240" w:lineRule="auto"/>
              <w:rPr>
                <w:rFonts w:cs="Arial"/>
                <w:b/>
                <w:highlight w:val="yellow"/>
              </w:rPr>
            </w:pPr>
          </w:p>
        </w:tc>
        <w:tc>
          <w:tcPr>
            <w:tcW w:w="1990" w:type="dxa"/>
            <w:tcBorders>
              <w:top w:val="single" w:sz="4" w:space="0" w:color="000000"/>
              <w:left w:val="single" w:sz="4" w:space="0" w:color="000000"/>
              <w:bottom w:val="single" w:sz="4" w:space="0" w:color="000000"/>
              <w:right w:val="single" w:sz="4" w:space="0" w:color="000000"/>
            </w:tcBorders>
          </w:tcPr>
          <w:p w14:paraId="2052160D"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 R</w:t>
            </w:r>
          </w:p>
        </w:tc>
      </w:tr>
      <w:tr w:rsidR="00A66239" w:rsidRPr="00A66239" w14:paraId="6E2D53E8" w14:textId="77777777" w:rsidTr="00422A93">
        <w:trPr>
          <w:trHeight w:val="23"/>
        </w:trPr>
        <w:tc>
          <w:tcPr>
            <w:tcW w:w="7692" w:type="dxa"/>
            <w:tcBorders>
              <w:top w:val="single" w:sz="4" w:space="0" w:color="000000"/>
              <w:left w:val="single" w:sz="4" w:space="0" w:color="000000"/>
              <w:bottom w:val="single" w:sz="4" w:space="0" w:color="000000"/>
            </w:tcBorders>
          </w:tcPr>
          <w:p w14:paraId="0459A08F"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color w:val="000000"/>
              </w:rPr>
              <w:t>The ability to take individual responsibility for planning and undertaking own work, according to clinical and scientific deadlines</w:t>
            </w:r>
          </w:p>
        </w:tc>
        <w:tc>
          <w:tcPr>
            <w:tcW w:w="475" w:type="dxa"/>
            <w:tcBorders>
              <w:top w:val="single" w:sz="4" w:space="0" w:color="000000"/>
              <w:left w:val="single" w:sz="4" w:space="0" w:color="000000"/>
              <w:bottom w:val="single" w:sz="4" w:space="0" w:color="000000"/>
            </w:tcBorders>
          </w:tcPr>
          <w:p w14:paraId="7D7150B5" w14:textId="77777777" w:rsidR="00A66239" w:rsidRPr="00A66239" w:rsidRDefault="00A66239" w:rsidP="00422A93">
            <w:pPr>
              <w:pStyle w:val="BodyText2"/>
              <w:shd w:val="solid" w:color="FFFFFF" w:fill="000000"/>
              <w:snapToGrid w:val="0"/>
              <w:spacing w:before="60" w:after="0" w:line="240" w:lineRule="auto"/>
              <w:rPr>
                <w:rFonts w:cs="Arial"/>
                <w:b/>
              </w:rPr>
            </w:pPr>
            <w:r w:rsidRPr="00A66239">
              <w:rPr>
                <w:rFonts w:cs="Arial"/>
                <w:b/>
              </w:rPr>
              <w:t>x</w:t>
            </w:r>
          </w:p>
        </w:tc>
        <w:tc>
          <w:tcPr>
            <w:tcW w:w="475" w:type="dxa"/>
            <w:tcBorders>
              <w:top w:val="single" w:sz="4" w:space="0" w:color="000000"/>
              <w:left w:val="single" w:sz="4" w:space="0" w:color="000000"/>
              <w:bottom w:val="single" w:sz="4" w:space="0" w:color="000000"/>
            </w:tcBorders>
          </w:tcPr>
          <w:p w14:paraId="7F3229E2" w14:textId="77777777" w:rsidR="00A66239" w:rsidRPr="00A66239" w:rsidRDefault="00A66239" w:rsidP="00422A93">
            <w:pPr>
              <w:pStyle w:val="BodyText2"/>
              <w:shd w:val="solid" w:color="FFFFFF" w:fill="000000"/>
              <w:snapToGrid w:val="0"/>
              <w:spacing w:before="60" w:after="0" w:line="240" w:lineRule="auto"/>
              <w:rPr>
                <w:rFonts w:cs="Arial"/>
                <w:b/>
                <w:highlight w:val="yellow"/>
              </w:rPr>
            </w:pPr>
          </w:p>
        </w:tc>
        <w:tc>
          <w:tcPr>
            <w:tcW w:w="1990" w:type="dxa"/>
            <w:tcBorders>
              <w:top w:val="single" w:sz="4" w:space="0" w:color="000000"/>
              <w:left w:val="single" w:sz="4" w:space="0" w:color="000000"/>
              <w:bottom w:val="single" w:sz="4" w:space="0" w:color="000000"/>
              <w:right w:val="single" w:sz="4" w:space="0" w:color="000000"/>
            </w:tcBorders>
          </w:tcPr>
          <w:p w14:paraId="427DC64D" w14:textId="77777777" w:rsidR="00A66239" w:rsidRPr="00A66239" w:rsidRDefault="00A66239" w:rsidP="00422A93">
            <w:pPr>
              <w:pStyle w:val="BodyText2"/>
              <w:shd w:val="solid" w:color="FFFFFF" w:fill="000000"/>
              <w:snapToGrid w:val="0"/>
              <w:spacing w:before="60" w:after="0" w:line="240" w:lineRule="auto"/>
              <w:rPr>
                <w:rFonts w:cs="Arial"/>
              </w:rPr>
            </w:pPr>
            <w:r w:rsidRPr="00A66239">
              <w:rPr>
                <w:rFonts w:cs="Arial"/>
              </w:rPr>
              <w:t>AP, I</w:t>
            </w:r>
          </w:p>
        </w:tc>
      </w:tr>
    </w:tbl>
    <w:p w14:paraId="5BF8E69D" w14:textId="77777777" w:rsidR="00A66239" w:rsidRPr="00A66239" w:rsidRDefault="00A66239" w:rsidP="00A66239">
      <w:pPr>
        <w:spacing w:after="0" w:line="240" w:lineRule="auto"/>
        <w:rPr>
          <w:rFonts w:cs="Arial"/>
        </w:rPr>
      </w:pPr>
    </w:p>
    <w:p w14:paraId="0B268A70" w14:textId="77777777" w:rsidR="00A66239" w:rsidRPr="00A66239" w:rsidRDefault="00A66239"/>
    <w:sectPr w:rsidR="00A66239" w:rsidRPr="00A66239" w:rsidSect="00761D63">
      <w:headerReference w:type="default" r:id="rId14"/>
      <w:footerReference w:type="default" r:id="rId15"/>
      <w:pgSz w:w="11906" w:h="16838"/>
      <w:pgMar w:top="1440" w:right="1440" w:bottom="709" w:left="1440"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480D" w14:textId="77777777" w:rsidR="001650E7" w:rsidRDefault="001650E7" w:rsidP="00A66239">
      <w:pPr>
        <w:spacing w:after="0" w:line="240" w:lineRule="auto"/>
      </w:pPr>
      <w:r>
        <w:separator/>
      </w:r>
    </w:p>
  </w:endnote>
  <w:endnote w:type="continuationSeparator" w:id="0">
    <w:p w14:paraId="418D9D20" w14:textId="77777777" w:rsidR="001650E7" w:rsidRDefault="001650E7" w:rsidP="00A6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BF39" w14:textId="6BEFDA5A" w:rsidR="00506149" w:rsidRPr="00506149" w:rsidRDefault="00A66239" w:rsidP="00506149">
    <w:pPr>
      <w:pStyle w:val="Footer"/>
      <w:jc w:val="both"/>
      <w:rPr>
        <w:i/>
        <w:sz w:val="18"/>
        <w:szCs w:val="18"/>
      </w:rPr>
    </w:pPr>
    <w:r>
      <w:rPr>
        <w:i/>
        <w:sz w:val="18"/>
        <w:szCs w:val="18"/>
      </w:rPr>
      <w:t xml:space="preserve">JD </w:t>
    </w:r>
    <w:r w:rsidR="00506149">
      <w:rPr>
        <w:i/>
        <w:sz w:val="18"/>
        <w:szCs w:val="18"/>
      </w:rPr>
      <w:t>DEO Director</w:t>
    </w: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65EF" w14:textId="77777777" w:rsidR="001650E7" w:rsidRDefault="001650E7" w:rsidP="00A66239">
      <w:pPr>
        <w:spacing w:after="0" w:line="240" w:lineRule="auto"/>
      </w:pPr>
      <w:r>
        <w:separator/>
      </w:r>
    </w:p>
  </w:footnote>
  <w:footnote w:type="continuationSeparator" w:id="0">
    <w:p w14:paraId="29CFD281" w14:textId="77777777" w:rsidR="001650E7" w:rsidRDefault="001650E7" w:rsidP="00A66239">
      <w:pPr>
        <w:spacing w:after="0" w:line="240" w:lineRule="auto"/>
      </w:pPr>
      <w:r>
        <w:continuationSeparator/>
      </w:r>
    </w:p>
  </w:footnote>
  <w:footnote w:id="1">
    <w:p w14:paraId="76B3EE46" w14:textId="77777777" w:rsidR="00A66239" w:rsidRDefault="00A66239" w:rsidP="00A66239">
      <w:pPr>
        <w:pStyle w:val="FootnoteText"/>
      </w:pPr>
      <w:r w:rsidRPr="00EC3C7F">
        <w:rPr>
          <w:rStyle w:val="FootnoteReference"/>
          <w:rFonts w:ascii="Arial" w:hAnsi="Arial" w:cs="Arial"/>
        </w:rPr>
        <w:footnoteRef/>
      </w:r>
      <w:r w:rsidRPr="00EC3C7F">
        <w:rPr>
          <w:rFonts w:ascii="Arial" w:hAnsi="Arial" w:cs="Arial"/>
        </w:rPr>
        <w:t xml:space="preserve"> Applies to clinical applicants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5345" w14:textId="60DEF35A" w:rsidR="00A66239" w:rsidRDefault="00A66239">
    <w:pPr>
      <w:pStyle w:val="Header"/>
    </w:pPr>
    <w:r>
      <w:rPr>
        <w:noProof/>
        <w:lang w:eastAsia="en-GB"/>
      </w:rPr>
      <w:drawing>
        <wp:inline distT="0" distB="0" distL="0" distR="0" wp14:anchorId="642AB223" wp14:editId="5500DEE0">
          <wp:extent cx="5724525" cy="4381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D6F"/>
    <w:multiLevelType w:val="hybridMultilevel"/>
    <w:tmpl w:val="8A52E252"/>
    <w:lvl w:ilvl="0" w:tplc="5A0C051E">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11632F5E"/>
    <w:multiLevelType w:val="hybridMultilevel"/>
    <w:tmpl w:val="C226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B7F51"/>
    <w:multiLevelType w:val="hybridMultilevel"/>
    <w:tmpl w:val="21FC0D64"/>
    <w:lvl w:ilvl="0" w:tplc="35C89B52">
      <w:start w:val="1"/>
      <w:numFmt w:val="decimal"/>
      <w:lvlText w:val="%1."/>
      <w:lvlJc w:val="left"/>
      <w:pPr>
        <w:ind w:left="960" w:hanging="360"/>
      </w:pPr>
      <w:rPr>
        <w:rFonts w:ascii="Calibri" w:eastAsia="Calibri" w:hAnsi="Calibri" w:cs="Calibri" w:hint="default"/>
        <w:w w:val="100"/>
        <w:sz w:val="22"/>
        <w:szCs w:val="22"/>
        <w:lang w:val="en-GB" w:eastAsia="en-GB" w:bidi="en-GB"/>
      </w:rPr>
    </w:lvl>
    <w:lvl w:ilvl="1" w:tplc="1892F9C0">
      <w:numFmt w:val="bullet"/>
      <w:lvlText w:val="•"/>
      <w:lvlJc w:val="left"/>
      <w:pPr>
        <w:ind w:left="1766" w:hanging="360"/>
      </w:pPr>
      <w:rPr>
        <w:lang w:val="en-GB" w:eastAsia="en-GB" w:bidi="en-GB"/>
      </w:rPr>
    </w:lvl>
    <w:lvl w:ilvl="2" w:tplc="CA68A278">
      <w:numFmt w:val="bullet"/>
      <w:lvlText w:val="•"/>
      <w:lvlJc w:val="left"/>
      <w:pPr>
        <w:ind w:left="2573" w:hanging="360"/>
      </w:pPr>
      <w:rPr>
        <w:lang w:val="en-GB" w:eastAsia="en-GB" w:bidi="en-GB"/>
      </w:rPr>
    </w:lvl>
    <w:lvl w:ilvl="3" w:tplc="5AD29E20">
      <w:numFmt w:val="bullet"/>
      <w:lvlText w:val="•"/>
      <w:lvlJc w:val="left"/>
      <w:pPr>
        <w:ind w:left="3379" w:hanging="360"/>
      </w:pPr>
      <w:rPr>
        <w:lang w:val="en-GB" w:eastAsia="en-GB" w:bidi="en-GB"/>
      </w:rPr>
    </w:lvl>
    <w:lvl w:ilvl="4" w:tplc="B2060986">
      <w:numFmt w:val="bullet"/>
      <w:lvlText w:val="•"/>
      <w:lvlJc w:val="left"/>
      <w:pPr>
        <w:ind w:left="4186" w:hanging="360"/>
      </w:pPr>
      <w:rPr>
        <w:lang w:val="en-GB" w:eastAsia="en-GB" w:bidi="en-GB"/>
      </w:rPr>
    </w:lvl>
    <w:lvl w:ilvl="5" w:tplc="A3B4B4F6">
      <w:numFmt w:val="bullet"/>
      <w:lvlText w:val="•"/>
      <w:lvlJc w:val="left"/>
      <w:pPr>
        <w:ind w:left="4993" w:hanging="360"/>
      </w:pPr>
      <w:rPr>
        <w:lang w:val="en-GB" w:eastAsia="en-GB" w:bidi="en-GB"/>
      </w:rPr>
    </w:lvl>
    <w:lvl w:ilvl="6" w:tplc="F8B24BFE">
      <w:numFmt w:val="bullet"/>
      <w:lvlText w:val="•"/>
      <w:lvlJc w:val="left"/>
      <w:pPr>
        <w:ind w:left="5799" w:hanging="360"/>
      </w:pPr>
      <w:rPr>
        <w:lang w:val="en-GB" w:eastAsia="en-GB" w:bidi="en-GB"/>
      </w:rPr>
    </w:lvl>
    <w:lvl w:ilvl="7" w:tplc="CFF0E77E">
      <w:numFmt w:val="bullet"/>
      <w:lvlText w:val="•"/>
      <w:lvlJc w:val="left"/>
      <w:pPr>
        <w:ind w:left="6606" w:hanging="360"/>
      </w:pPr>
      <w:rPr>
        <w:lang w:val="en-GB" w:eastAsia="en-GB" w:bidi="en-GB"/>
      </w:rPr>
    </w:lvl>
    <w:lvl w:ilvl="8" w:tplc="5CCA189A">
      <w:numFmt w:val="bullet"/>
      <w:lvlText w:val="•"/>
      <w:lvlJc w:val="left"/>
      <w:pPr>
        <w:ind w:left="7413" w:hanging="360"/>
      </w:pPr>
      <w:rPr>
        <w:lang w:val="en-GB" w:eastAsia="en-GB" w:bidi="en-GB"/>
      </w:rPr>
    </w:lvl>
  </w:abstractNum>
  <w:abstractNum w:abstractNumId="3" w15:restartNumberingAfterBreak="0">
    <w:nsid w:val="41D37804"/>
    <w:multiLevelType w:val="hybridMultilevel"/>
    <w:tmpl w:val="76BE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AB5545"/>
    <w:multiLevelType w:val="hybridMultilevel"/>
    <w:tmpl w:val="FDCA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155F3"/>
    <w:multiLevelType w:val="hybridMultilevel"/>
    <w:tmpl w:val="39AE1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913B6"/>
    <w:multiLevelType w:val="hybridMultilevel"/>
    <w:tmpl w:val="D6C4B4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53687"/>
    <w:multiLevelType w:val="hybridMultilevel"/>
    <w:tmpl w:val="444E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E1F05"/>
    <w:multiLevelType w:val="hybridMultilevel"/>
    <w:tmpl w:val="551A5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3573637">
    <w:abstractNumId w:val="1"/>
  </w:num>
  <w:num w:numId="2" w16cid:durableId="576936016">
    <w:abstractNumId w:val="7"/>
  </w:num>
  <w:num w:numId="3" w16cid:durableId="220216019">
    <w:abstractNumId w:val="2"/>
    <w:lvlOverride w:ilvl="0">
      <w:startOverride w:val="1"/>
    </w:lvlOverride>
    <w:lvlOverride w:ilvl="1"/>
    <w:lvlOverride w:ilvl="2"/>
    <w:lvlOverride w:ilvl="3"/>
    <w:lvlOverride w:ilvl="4"/>
    <w:lvlOverride w:ilvl="5"/>
    <w:lvlOverride w:ilvl="6"/>
    <w:lvlOverride w:ilvl="7"/>
    <w:lvlOverride w:ilvl="8"/>
  </w:num>
  <w:num w:numId="4" w16cid:durableId="2057704484">
    <w:abstractNumId w:val="5"/>
  </w:num>
  <w:num w:numId="5" w16cid:durableId="344863906">
    <w:abstractNumId w:val="3"/>
  </w:num>
  <w:num w:numId="6" w16cid:durableId="2063865908">
    <w:abstractNumId w:val="8"/>
  </w:num>
  <w:num w:numId="7" w16cid:durableId="453328497">
    <w:abstractNumId w:val="0"/>
  </w:num>
  <w:num w:numId="8" w16cid:durableId="2095006841">
    <w:abstractNumId w:val="6"/>
  </w:num>
  <w:num w:numId="9" w16cid:durableId="1012031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39"/>
    <w:rsid w:val="000160B9"/>
    <w:rsid w:val="00070F2E"/>
    <w:rsid w:val="000E7C04"/>
    <w:rsid w:val="00115B33"/>
    <w:rsid w:val="001578F0"/>
    <w:rsid w:val="001650E7"/>
    <w:rsid w:val="001B1F1C"/>
    <w:rsid w:val="001C3837"/>
    <w:rsid w:val="003C3A7B"/>
    <w:rsid w:val="00434DF9"/>
    <w:rsid w:val="00457F3A"/>
    <w:rsid w:val="00506149"/>
    <w:rsid w:val="005122DB"/>
    <w:rsid w:val="00527A9D"/>
    <w:rsid w:val="005D55A2"/>
    <w:rsid w:val="006260B5"/>
    <w:rsid w:val="006854A5"/>
    <w:rsid w:val="006B34CF"/>
    <w:rsid w:val="00716752"/>
    <w:rsid w:val="00732D0E"/>
    <w:rsid w:val="00761D63"/>
    <w:rsid w:val="007A1ABD"/>
    <w:rsid w:val="007B6801"/>
    <w:rsid w:val="008413D7"/>
    <w:rsid w:val="0088426C"/>
    <w:rsid w:val="008A5249"/>
    <w:rsid w:val="008D6CCC"/>
    <w:rsid w:val="0092076F"/>
    <w:rsid w:val="009211EC"/>
    <w:rsid w:val="00934D6A"/>
    <w:rsid w:val="00960CB8"/>
    <w:rsid w:val="009B494A"/>
    <w:rsid w:val="009C4E9C"/>
    <w:rsid w:val="00A050D7"/>
    <w:rsid w:val="00A376AB"/>
    <w:rsid w:val="00A45B9C"/>
    <w:rsid w:val="00A66239"/>
    <w:rsid w:val="00B707CF"/>
    <w:rsid w:val="00BB39DD"/>
    <w:rsid w:val="00C22F3A"/>
    <w:rsid w:val="00C601FC"/>
    <w:rsid w:val="00CE3487"/>
    <w:rsid w:val="00D257A9"/>
    <w:rsid w:val="00D35750"/>
    <w:rsid w:val="00DB207E"/>
    <w:rsid w:val="00E0766C"/>
    <w:rsid w:val="00F14E02"/>
    <w:rsid w:val="00F73540"/>
    <w:rsid w:val="00F80745"/>
    <w:rsid w:val="00F93EBB"/>
    <w:rsid w:val="00FA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344DC"/>
  <w15:chartTrackingRefBased/>
  <w15:docId w15:val="{BCFEA10C-90DE-4F47-8379-1C82B9FF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39"/>
    <w:pPr>
      <w:spacing w:after="200" w:line="276" w:lineRule="auto"/>
    </w:pPr>
  </w:style>
  <w:style w:type="paragraph" w:styleId="Heading1">
    <w:name w:val="heading 1"/>
    <w:basedOn w:val="Normal"/>
    <w:next w:val="Normal"/>
    <w:link w:val="Heading1Char"/>
    <w:uiPriority w:val="9"/>
    <w:qFormat/>
    <w:rsid w:val="00506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61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50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39"/>
  </w:style>
  <w:style w:type="paragraph" w:styleId="Footer">
    <w:name w:val="footer"/>
    <w:basedOn w:val="Normal"/>
    <w:link w:val="FooterChar"/>
    <w:uiPriority w:val="99"/>
    <w:unhideWhenUsed/>
    <w:rsid w:val="00A66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39"/>
  </w:style>
  <w:style w:type="paragraph" w:customStyle="1" w:styleId="Default">
    <w:name w:val="Default"/>
    <w:rsid w:val="00A66239"/>
    <w:pPr>
      <w:autoSpaceDE w:val="0"/>
      <w:autoSpaceDN w:val="0"/>
      <w:adjustRightInd w:val="0"/>
      <w:spacing w:after="0" w:line="240" w:lineRule="auto"/>
    </w:pPr>
    <w:rPr>
      <w:rFonts w:ascii="Arial" w:hAnsi="Arial" w:cs="Arial"/>
      <w:color w:val="000000"/>
      <w:sz w:val="24"/>
      <w:szCs w:val="24"/>
    </w:rPr>
  </w:style>
  <w:style w:type="paragraph" w:customStyle="1" w:styleId="Instruction">
    <w:name w:val="Instruction"/>
    <w:basedOn w:val="Normal"/>
    <w:link w:val="InstructionChar"/>
    <w:uiPriority w:val="99"/>
    <w:qFormat/>
    <w:rsid w:val="00A66239"/>
    <w:pPr>
      <w:spacing w:before="120" w:after="0" w:line="240" w:lineRule="auto"/>
      <w:jc w:val="both"/>
    </w:pPr>
    <w:rPr>
      <w:rFonts w:ascii="Arial" w:eastAsia="Times New Roman" w:hAnsi="Arial" w:cs="Times New Roman"/>
      <w:i/>
      <w:sz w:val="20"/>
      <w:szCs w:val="24"/>
      <w:lang w:eastAsia="en-GB"/>
    </w:rPr>
  </w:style>
  <w:style w:type="character" w:customStyle="1" w:styleId="InstructionChar">
    <w:name w:val="Instruction Char"/>
    <w:basedOn w:val="DefaultParagraphFont"/>
    <w:link w:val="Instruction"/>
    <w:uiPriority w:val="99"/>
    <w:rsid w:val="00A66239"/>
    <w:rPr>
      <w:rFonts w:ascii="Arial" w:eastAsia="Times New Roman" w:hAnsi="Arial" w:cs="Times New Roman"/>
      <w:i/>
      <w:sz w:val="20"/>
      <w:szCs w:val="24"/>
      <w:lang w:eastAsia="en-GB"/>
    </w:rPr>
  </w:style>
  <w:style w:type="paragraph" w:styleId="BodyText">
    <w:name w:val="Body Text"/>
    <w:basedOn w:val="Normal"/>
    <w:link w:val="BodyTextChar"/>
    <w:rsid w:val="00A66239"/>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A66239"/>
    <w:rPr>
      <w:rFonts w:ascii="Times New Roman" w:eastAsia="Times New Roman" w:hAnsi="Times New Roman" w:cs="Times New Roman"/>
      <w:sz w:val="20"/>
      <w:szCs w:val="20"/>
      <w:lang w:eastAsia="en-GB"/>
    </w:rPr>
  </w:style>
  <w:style w:type="paragraph" w:styleId="ListParagraph">
    <w:name w:val="List Paragraph"/>
    <w:basedOn w:val="Normal"/>
    <w:link w:val="ListParagraphChar"/>
    <w:uiPriority w:val="34"/>
    <w:qFormat/>
    <w:rsid w:val="00A6623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rsid w:val="00A66239"/>
    <w:rPr>
      <w:color w:val="0000FF"/>
      <w:u w:val="single"/>
    </w:rPr>
  </w:style>
  <w:style w:type="character" w:customStyle="1" w:styleId="ListParagraphChar">
    <w:name w:val="List Paragraph Char"/>
    <w:link w:val="ListParagraph"/>
    <w:uiPriority w:val="1"/>
    <w:locked/>
    <w:rsid w:val="00A66239"/>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A66239"/>
    <w:pPr>
      <w:spacing w:after="120" w:line="480" w:lineRule="auto"/>
    </w:pPr>
  </w:style>
  <w:style w:type="character" w:customStyle="1" w:styleId="BodyText2Char">
    <w:name w:val="Body Text 2 Char"/>
    <w:basedOn w:val="DefaultParagraphFont"/>
    <w:link w:val="BodyText2"/>
    <w:uiPriority w:val="99"/>
    <w:semiHidden/>
    <w:rsid w:val="00A66239"/>
  </w:style>
  <w:style w:type="paragraph" w:styleId="BodyTextIndent">
    <w:name w:val="Body Text Indent"/>
    <w:basedOn w:val="Normal"/>
    <w:link w:val="BodyTextIndentChar"/>
    <w:uiPriority w:val="99"/>
    <w:semiHidden/>
    <w:unhideWhenUsed/>
    <w:rsid w:val="00A66239"/>
    <w:pPr>
      <w:spacing w:after="120"/>
      <w:ind w:left="283"/>
    </w:pPr>
  </w:style>
  <w:style w:type="character" w:customStyle="1" w:styleId="BodyTextIndentChar">
    <w:name w:val="Body Text Indent Char"/>
    <w:basedOn w:val="DefaultParagraphFont"/>
    <w:link w:val="BodyTextIndent"/>
    <w:uiPriority w:val="99"/>
    <w:semiHidden/>
    <w:rsid w:val="00A66239"/>
  </w:style>
  <w:style w:type="paragraph" w:styleId="FootnoteText">
    <w:name w:val="footnote text"/>
    <w:basedOn w:val="Normal"/>
    <w:link w:val="FootnoteTextChar"/>
    <w:semiHidden/>
    <w:rsid w:val="00A66239"/>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A66239"/>
    <w:rPr>
      <w:rFonts w:ascii="Times New Roman" w:eastAsia="Times New Roman" w:hAnsi="Times New Roman" w:cs="Times New Roman"/>
      <w:sz w:val="20"/>
      <w:szCs w:val="20"/>
      <w:lang w:eastAsia="ar-SA"/>
    </w:rPr>
  </w:style>
  <w:style w:type="character" w:styleId="FootnoteReference">
    <w:name w:val="footnote reference"/>
    <w:semiHidden/>
    <w:rsid w:val="00A66239"/>
    <w:rPr>
      <w:vertAlign w:val="superscript"/>
    </w:rPr>
  </w:style>
  <w:style w:type="paragraph" w:styleId="BalloonText">
    <w:name w:val="Balloon Text"/>
    <w:basedOn w:val="Normal"/>
    <w:link w:val="BalloonTextChar"/>
    <w:uiPriority w:val="99"/>
    <w:semiHidden/>
    <w:unhideWhenUsed/>
    <w:rsid w:val="009B49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94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5B9C"/>
    <w:rPr>
      <w:sz w:val="16"/>
      <w:szCs w:val="16"/>
    </w:rPr>
  </w:style>
  <w:style w:type="paragraph" w:styleId="CommentText">
    <w:name w:val="annotation text"/>
    <w:basedOn w:val="Normal"/>
    <w:link w:val="CommentTextChar"/>
    <w:uiPriority w:val="99"/>
    <w:unhideWhenUsed/>
    <w:rsid w:val="00A45B9C"/>
    <w:pPr>
      <w:spacing w:line="240" w:lineRule="auto"/>
    </w:pPr>
    <w:rPr>
      <w:sz w:val="20"/>
      <w:szCs w:val="20"/>
    </w:rPr>
  </w:style>
  <w:style w:type="character" w:customStyle="1" w:styleId="CommentTextChar">
    <w:name w:val="Comment Text Char"/>
    <w:basedOn w:val="DefaultParagraphFont"/>
    <w:link w:val="CommentText"/>
    <w:uiPriority w:val="99"/>
    <w:rsid w:val="00A45B9C"/>
    <w:rPr>
      <w:sz w:val="20"/>
      <w:szCs w:val="20"/>
    </w:rPr>
  </w:style>
  <w:style w:type="paragraph" w:styleId="CommentSubject">
    <w:name w:val="annotation subject"/>
    <w:basedOn w:val="CommentText"/>
    <w:next w:val="CommentText"/>
    <w:link w:val="CommentSubjectChar"/>
    <w:uiPriority w:val="99"/>
    <w:semiHidden/>
    <w:unhideWhenUsed/>
    <w:rsid w:val="00A45B9C"/>
    <w:rPr>
      <w:b/>
      <w:bCs/>
    </w:rPr>
  </w:style>
  <w:style w:type="character" w:customStyle="1" w:styleId="CommentSubjectChar">
    <w:name w:val="Comment Subject Char"/>
    <w:basedOn w:val="CommentTextChar"/>
    <w:link w:val="CommentSubject"/>
    <w:uiPriority w:val="99"/>
    <w:semiHidden/>
    <w:rsid w:val="00A45B9C"/>
    <w:rPr>
      <w:b/>
      <w:bCs/>
      <w:sz w:val="20"/>
      <w:szCs w:val="20"/>
    </w:rPr>
  </w:style>
  <w:style w:type="character" w:customStyle="1" w:styleId="Heading1Char">
    <w:name w:val="Heading 1 Char"/>
    <w:basedOn w:val="DefaultParagraphFont"/>
    <w:link w:val="Heading1"/>
    <w:uiPriority w:val="9"/>
    <w:rsid w:val="005061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61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50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b.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gshealthpartner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1DB203966E9E418F1FABE6646EDCEA" ma:contentTypeVersion="10" ma:contentTypeDescription="Create a new document." ma:contentTypeScope="" ma:versionID="f922f5fe851912987ab1f66fe62e4513">
  <xsd:schema xmlns:xsd="http://www.w3.org/2001/XMLSchema" xmlns:xs="http://www.w3.org/2001/XMLSchema" xmlns:p="http://schemas.microsoft.com/office/2006/metadata/properties" xmlns:ns3="7a83493a-797f-46f7-ab8c-2cdf3f21e818" xmlns:ns4="effa473c-5833-42f1-8a84-0f89186a5d36" targetNamespace="http://schemas.microsoft.com/office/2006/metadata/properties" ma:root="true" ma:fieldsID="822b7fae2f15379ae2d2b1a6765fa408" ns3:_="" ns4:_="">
    <xsd:import namespace="7a83493a-797f-46f7-ab8c-2cdf3f21e818"/>
    <xsd:import namespace="effa473c-5833-42f1-8a84-0f89186a5d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3493a-797f-46f7-ab8c-2cdf3f21e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fa473c-5833-42f1-8a84-0f89186a5d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92393-A4C0-4643-BD85-AB0D42DB08A0}">
  <ds:schemaRefs>
    <ds:schemaRef ds:uri="http://schemas.microsoft.com/sharepoint/v3/contenttype/forms"/>
  </ds:schemaRefs>
</ds:datastoreItem>
</file>

<file path=customXml/itemProps2.xml><?xml version="1.0" encoding="utf-8"?>
<ds:datastoreItem xmlns:ds="http://schemas.openxmlformats.org/officeDocument/2006/customXml" ds:itemID="{BBE04427-F2C8-4706-A6D6-ACA4BB539428}">
  <ds:schemaRefs>
    <ds:schemaRef ds:uri="http://schemas.openxmlformats.org/officeDocument/2006/bibliography"/>
  </ds:schemaRefs>
</ds:datastoreItem>
</file>

<file path=customXml/itemProps3.xml><?xml version="1.0" encoding="utf-8"?>
<ds:datastoreItem xmlns:ds="http://schemas.openxmlformats.org/officeDocument/2006/customXml" ds:itemID="{15C1533F-6DC5-4314-8BCB-142027BD08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E8B1CF-B18B-4081-B88B-52EE0CD8B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3493a-797f-46f7-ab8c-2cdf3f21e818"/>
    <ds:schemaRef ds:uri="effa473c-5833-42f1-8a84-0f89186a5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Garrity</dc:creator>
  <cp:keywords/>
  <dc:description/>
  <cp:lastModifiedBy>Michelle Martin</cp:lastModifiedBy>
  <cp:revision>2</cp:revision>
  <dcterms:created xsi:type="dcterms:W3CDTF">2022-09-14T07:06:00Z</dcterms:created>
  <dcterms:modified xsi:type="dcterms:W3CDTF">2022-09-14T07:06:00Z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0x010100151DB203966E9E418F1FABE6646EDCEA</vt:lpwstr>
  </property>
</Properties>
</file>